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5E" w:rsidRDefault="005C1202">
      <w:pPr>
        <w:spacing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F235E" w:rsidRDefault="005C1202">
      <w:pPr>
        <w:pStyle w:val="af5"/>
        <w:ind w:left="34" w:firstLine="5069"/>
        <w:jc w:val="left"/>
        <w:rPr>
          <w:szCs w:val="28"/>
        </w:rPr>
      </w:pPr>
      <w:r>
        <w:rPr>
          <w:szCs w:val="28"/>
        </w:rPr>
        <w:t>к приказу ГКУ НСО ТУАД</w:t>
      </w:r>
    </w:p>
    <w:p w:rsidR="009F235E" w:rsidRPr="00BA3CAD" w:rsidRDefault="005C1202">
      <w:pPr>
        <w:pStyle w:val="af5"/>
        <w:ind w:left="34" w:firstLine="5069"/>
        <w:jc w:val="left"/>
        <w:rPr>
          <w:szCs w:val="28"/>
          <w:u w:val="single"/>
        </w:rPr>
      </w:pPr>
      <w:r w:rsidRPr="00793187">
        <w:rPr>
          <w:szCs w:val="28"/>
        </w:rPr>
        <w:t>от</w:t>
      </w:r>
      <w:r w:rsidR="00BA3CAD" w:rsidRPr="00BA3CAD">
        <w:rPr>
          <w:szCs w:val="28"/>
          <w:u w:val="single"/>
        </w:rPr>
        <w:t xml:space="preserve"> 22 декабря 2025 г.</w:t>
      </w:r>
      <w:r w:rsidRPr="00793187">
        <w:rPr>
          <w:szCs w:val="28"/>
        </w:rPr>
        <w:t>№</w:t>
      </w:r>
      <w:r w:rsidR="00BA3CAD" w:rsidRPr="00BA3CAD">
        <w:rPr>
          <w:szCs w:val="28"/>
          <w:u w:val="single"/>
        </w:rPr>
        <w:t>558</w:t>
      </w:r>
    </w:p>
    <w:p w:rsidR="009F235E" w:rsidRDefault="009F235E">
      <w:pPr>
        <w:pStyle w:val="af5"/>
        <w:ind w:left="34" w:firstLine="5069"/>
        <w:jc w:val="left"/>
        <w:rPr>
          <w:szCs w:val="28"/>
        </w:rPr>
      </w:pPr>
    </w:p>
    <w:p w:rsidR="009F235E" w:rsidRDefault="005C1202">
      <w:pPr>
        <w:pStyle w:val="af5"/>
        <w:ind w:left="34" w:firstLine="0"/>
        <w:rPr>
          <w:b/>
          <w:szCs w:val="28"/>
        </w:rPr>
      </w:pPr>
      <w:r>
        <w:rPr>
          <w:b/>
          <w:szCs w:val="28"/>
        </w:rPr>
        <w:t xml:space="preserve">Порядок организации и проведения открытого аукциона в электронной форме на право заключения договора на установку </w:t>
      </w:r>
    </w:p>
    <w:p w:rsidR="009F235E" w:rsidRDefault="005C1202">
      <w:pPr>
        <w:pStyle w:val="af5"/>
        <w:ind w:left="34" w:firstLine="0"/>
        <w:rPr>
          <w:b/>
          <w:szCs w:val="28"/>
        </w:rPr>
      </w:pPr>
      <w:r>
        <w:rPr>
          <w:b/>
          <w:szCs w:val="28"/>
        </w:rPr>
        <w:t>и эксплуатацию рекламной конструкции</w:t>
      </w:r>
    </w:p>
    <w:p w:rsidR="009F235E" w:rsidRDefault="009F235E">
      <w:pPr>
        <w:pStyle w:val="af5"/>
        <w:ind w:left="34" w:firstLine="0"/>
        <w:rPr>
          <w:b/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Общие положения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Настоящий Порядок</w:t>
      </w:r>
      <w:r>
        <w:rPr>
          <w:szCs w:val="28"/>
        </w:rPr>
        <w:t xml:space="preserve"> организации и проведения открытого аукциона в электронной форме на право заключения договора на установку и эксплуатацию рекламной конструкции (далее-Порядок) разработан в соответствии с Гражданским кодексом Российской Федерации, Федеральным законом от 13</w:t>
      </w:r>
      <w:r>
        <w:rPr>
          <w:szCs w:val="28"/>
        </w:rPr>
        <w:t>.03.2006г. № 38-ФЗ «О рекламе» и определяет порядок организации и проведения открытого аукциона в электронной форме на право заключения договора на установку и эксплуатацию рекламной конструкции (далее электронный</w:t>
      </w:r>
      <w:proofErr w:type="gramEnd"/>
      <w:r>
        <w:rPr>
          <w:szCs w:val="28"/>
        </w:rPr>
        <w:t xml:space="preserve"> аукцион) на земельных участках, находящихс</w:t>
      </w:r>
      <w:r>
        <w:rPr>
          <w:szCs w:val="28"/>
        </w:rPr>
        <w:t xml:space="preserve">я в оперативном управлении </w:t>
      </w:r>
      <w:r>
        <w:rPr>
          <w:bCs/>
        </w:rPr>
        <w:t>Государственного казенного учреждения Новосибирской области</w:t>
      </w:r>
      <w:r>
        <w:t xml:space="preserve"> «Территориальное управление автомобильных дорог Новосибирской области» (далее - ГКУ НСО ТУАД)</w:t>
      </w:r>
      <w:r>
        <w:rPr>
          <w:szCs w:val="28"/>
        </w:rPr>
        <w:t>.</w:t>
      </w: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Предметом электронного аукциона является право заключения договора на уста</w:t>
      </w:r>
      <w:r>
        <w:rPr>
          <w:szCs w:val="28"/>
        </w:rPr>
        <w:t>новку и эксплуатацию рекламной конструкции на земельных участках, находящихся в оперативном управлении ГКУ НСО ТУАД (далее-Договор).</w:t>
      </w: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Основные понятия и определения, используемые в настоящем Порядке: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>- аккредитация – предоставление участнику аукциона в поря</w:t>
      </w:r>
      <w:r>
        <w:rPr>
          <w:szCs w:val="28"/>
        </w:rPr>
        <w:t xml:space="preserve">дке, </w:t>
      </w:r>
      <w:proofErr w:type="gramStart"/>
      <w:r>
        <w:rPr>
          <w:szCs w:val="28"/>
        </w:rPr>
        <w:t>установленном</w:t>
      </w:r>
      <w:proofErr w:type="gramEnd"/>
      <w:r>
        <w:rPr>
          <w:szCs w:val="28"/>
        </w:rPr>
        <w:t xml:space="preserve"> регламентом электронной торговой площадки, возможности работы в закрытой части автоматизированной системы оператора электронной торговой площадки;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заявитель – любое юридическое лицо независимо от организационно-правовой формы, формы со</w:t>
      </w:r>
      <w:r>
        <w:rPr>
          <w:szCs w:val="28"/>
        </w:rPr>
        <w:t>бственности, места нахождения, а также места происхождения капитала или физическое лицо, в том числе индивидуальный предприниматель, подавшее Заявку на участие в электронном аукционе, зарегистрированное на электронной площадке (далее-заявитель);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заявка н</w:t>
      </w:r>
      <w:r>
        <w:rPr>
          <w:szCs w:val="28"/>
        </w:rPr>
        <w:t>а участие в электронном аукционе (далее-заявка) – сведения и документы, представленные заявителем для участия в электронном аукционе;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>- комиссия по организации и проведению аукциона на право заключения договора на установку и эксплуатацию рекламной констру</w:t>
      </w:r>
      <w:r>
        <w:rPr>
          <w:szCs w:val="28"/>
        </w:rPr>
        <w:t>кции (далее-Комиссия)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 xml:space="preserve">- комиссия, созданная на основании Приказа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__________№______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целях обеспечения организации и проведения электронного аукциона;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лот (предмет электронного аукциона) - право заключения Договора, реализуемое в ходе проведения одной </w:t>
      </w:r>
      <w:r>
        <w:rPr>
          <w:szCs w:val="28"/>
        </w:rPr>
        <w:t>процедуры электронного аукциона;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начальная (минимальная) цена лота (НМЦ) - определенный минимальный размер годовой платы по Договору, по которой организатор электронного аукциона готов продать предмет торгов (лот);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 xml:space="preserve">- оператор электронной торговой </w:t>
      </w:r>
      <w:proofErr w:type="gramStart"/>
      <w:r>
        <w:rPr>
          <w:szCs w:val="28"/>
        </w:rPr>
        <w:t>площадки-юридическое</w:t>
      </w:r>
      <w:proofErr w:type="gramEnd"/>
      <w:r>
        <w:rPr>
          <w:szCs w:val="28"/>
        </w:rPr>
        <w:t xml:space="preserve"> лицо независимо от его организационно-правовой формы, формы собственности, места нахождения и места происхождения капитала, государственная регистрация которого осуществлена на территории Российской Федерации, которое владеет электронн</w:t>
      </w:r>
      <w:r>
        <w:rPr>
          <w:szCs w:val="28"/>
        </w:rPr>
        <w:t>ой площадкой, необходимыми для ее функционирования программно-аппаратными средствами и обеспечивает проведение аукционов в электронной форме в соответствии с законодательством Российской Федерации;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организатор аукциона - ГКУ НСО ТУАД (далее организатор а</w:t>
      </w:r>
      <w:r>
        <w:rPr>
          <w:szCs w:val="28"/>
        </w:rPr>
        <w:t>укциона), уполномоченное на подготовку, организацию и проведение электронного аукциона;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 xml:space="preserve">- официальный источник публикации информации о проведении </w:t>
      </w:r>
      <w:proofErr w:type="gramStart"/>
      <w:r>
        <w:rPr>
          <w:szCs w:val="28"/>
        </w:rPr>
        <w:t>аукциона-сайт</w:t>
      </w:r>
      <w:proofErr w:type="gramEnd"/>
      <w:r>
        <w:rPr>
          <w:szCs w:val="28"/>
        </w:rPr>
        <w:t xml:space="preserve"> организатора аукциона в информационно-телекоммуникационной сети Интернет- </w:t>
      </w:r>
      <w:r>
        <w:rPr>
          <w:color w:val="0000FF"/>
          <w:szCs w:val="28"/>
        </w:rPr>
        <w:t>https://tuad.nso.ru/pa</w:t>
      </w:r>
      <w:r>
        <w:rPr>
          <w:color w:val="0000FF"/>
          <w:szCs w:val="28"/>
        </w:rPr>
        <w:t>ge/106</w:t>
      </w:r>
      <w:r>
        <w:rPr>
          <w:szCs w:val="28"/>
        </w:rPr>
        <w:t xml:space="preserve"> (далее сайт организатора аукциона);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обеспечение заявки (задаток</w:t>
      </w:r>
      <w:proofErr w:type="gramStart"/>
      <w:r>
        <w:rPr>
          <w:szCs w:val="28"/>
        </w:rPr>
        <w:t>)-</w:t>
      </w:r>
      <w:proofErr w:type="gramEnd"/>
      <w:r>
        <w:rPr>
          <w:szCs w:val="28"/>
        </w:rPr>
        <w:t>денежные средства, предоставляемые заявителем в качестве обеспечения участия в электронном аукционе;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 xml:space="preserve">- официальный сайт </w:t>
      </w:r>
      <w:proofErr w:type="gramStart"/>
      <w:r>
        <w:rPr>
          <w:szCs w:val="28"/>
        </w:rPr>
        <w:t>торгов-официальный</w:t>
      </w:r>
      <w:proofErr w:type="gramEnd"/>
      <w:r>
        <w:rPr>
          <w:szCs w:val="28"/>
        </w:rPr>
        <w:t xml:space="preserve"> сайт Российской Федерации в информационно-т</w:t>
      </w:r>
      <w:r>
        <w:rPr>
          <w:szCs w:val="28"/>
        </w:rPr>
        <w:t xml:space="preserve">елекоммуникационной сети Интернет для размещения информации о проведении торгов по адресу: </w:t>
      </w:r>
      <w:r>
        <w:rPr>
          <w:color w:val="0000FF"/>
        </w:rPr>
        <w:t>www.rts-tender.ru /</w:t>
      </w:r>
      <w:r>
        <w:rPr>
          <w:szCs w:val="28"/>
        </w:rPr>
        <w:t>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победитель аукциона, предложивший наиболее высокую плату за право заключения договора на установку и эксплуатацию рекламной конструкции, соотв</w:t>
      </w:r>
      <w:r>
        <w:rPr>
          <w:szCs w:val="28"/>
        </w:rPr>
        <w:t xml:space="preserve">етствующий предъявляемым к участникам требованиям, а также </w:t>
      </w:r>
      <w:proofErr w:type="gramStart"/>
      <w:r>
        <w:rPr>
          <w:szCs w:val="28"/>
        </w:rPr>
        <w:t>заявка</w:t>
      </w:r>
      <w:proofErr w:type="gramEnd"/>
      <w:r>
        <w:rPr>
          <w:szCs w:val="28"/>
        </w:rPr>
        <w:t xml:space="preserve"> которого соответствует требованиям, предъявляемым к заявке;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 xml:space="preserve">- участник </w:t>
      </w:r>
      <w:proofErr w:type="gramStart"/>
      <w:r>
        <w:rPr>
          <w:szCs w:val="28"/>
        </w:rPr>
        <w:t>аукциона-заявитель</w:t>
      </w:r>
      <w:proofErr w:type="gramEnd"/>
      <w:r>
        <w:rPr>
          <w:szCs w:val="28"/>
        </w:rPr>
        <w:t>, допущенный Комиссией к участию в электронном аукционе;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 xml:space="preserve">- шаг </w:t>
      </w:r>
      <w:proofErr w:type="gramStart"/>
      <w:r>
        <w:rPr>
          <w:szCs w:val="28"/>
        </w:rPr>
        <w:t>электронного</w:t>
      </w:r>
      <w:proofErr w:type="gramEnd"/>
      <w:r>
        <w:rPr>
          <w:szCs w:val="28"/>
        </w:rPr>
        <w:t xml:space="preserve"> аукциона-денежный интерва</w:t>
      </w:r>
      <w:r>
        <w:rPr>
          <w:szCs w:val="28"/>
        </w:rPr>
        <w:t>л, на который увеличивается НМЦ предмет торгов;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 xml:space="preserve">- электронная </w:t>
      </w:r>
      <w:proofErr w:type="gramStart"/>
      <w:r>
        <w:rPr>
          <w:szCs w:val="28"/>
        </w:rPr>
        <w:t>подпись-криптографическим</w:t>
      </w:r>
      <w:proofErr w:type="gramEnd"/>
      <w:r>
        <w:rPr>
          <w:szCs w:val="28"/>
        </w:rPr>
        <w:t xml:space="preserve"> методом связанная и преобразованная информация, позволяющая подтвердить подлинность электронного документа;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электронная торговая площадка (далее-ЭТП</w:t>
      </w:r>
      <w:proofErr w:type="gramStart"/>
      <w:r>
        <w:rPr>
          <w:szCs w:val="28"/>
        </w:rPr>
        <w:t>)-</w:t>
      </w:r>
      <w:proofErr w:type="gramEnd"/>
      <w:r>
        <w:rPr>
          <w:szCs w:val="28"/>
        </w:rPr>
        <w:t>сайт информацион</w:t>
      </w:r>
      <w:r>
        <w:rPr>
          <w:szCs w:val="28"/>
        </w:rPr>
        <w:t>но-телекоммуникационной системы Интернет, определенный для проведения аукционов в электронной форме и размещения информации о проведении электронных аукционов;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proofErr w:type="gramStart"/>
      <w:r>
        <w:rPr>
          <w:szCs w:val="28"/>
        </w:rPr>
        <w:t>- электронный аукцион-торги в форме аукциона, техническое проведение которых обеспечивается опер</w:t>
      </w:r>
      <w:r>
        <w:rPr>
          <w:szCs w:val="28"/>
        </w:rPr>
        <w:t xml:space="preserve">атором электронной торговой площадки на сайте в информационно-телекоммуникационной сети Интернет, победителем которых признается лицо, предложившее наиболее высокую </w:t>
      </w:r>
      <w:r>
        <w:rPr>
          <w:szCs w:val="28"/>
        </w:rPr>
        <w:lastRenderedPageBreak/>
        <w:t>плату за право заключения договора на установку и эксплуатацию рекламной конструкции;</w:t>
      </w:r>
      <w:proofErr w:type="gramEnd"/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эле</w:t>
      </w:r>
      <w:r>
        <w:rPr>
          <w:szCs w:val="28"/>
        </w:rPr>
        <w:t>ктронный документ-это документ, представленный в цифровом формате и требующий для его использования средств вычислительной техники или иных электронных устрой</w:t>
      </w:r>
      <w:proofErr w:type="gramStart"/>
      <w:r>
        <w:rPr>
          <w:szCs w:val="28"/>
        </w:rPr>
        <w:t>ств дл</w:t>
      </w:r>
      <w:proofErr w:type="gramEnd"/>
      <w:r>
        <w:rPr>
          <w:szCs w:val="28"/>
        </w:rPr>
        <w:t>я создания, передачи, хранения и воспроизведения оцифрованной информации.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1.4. Основными при</w:t>
      </w:r>
      <w:r>
        <w:rPr>
          <w:szCs w:val="28"/>
        </w:rPr>
        <w:t xml:space="preserve">нципами организации и проведения электронного аукциона являются равные условия для всех претендентов, </w:t>
      </w:r>
      <w:r>
        <w:rPr>
          <w:color w:val="000000"/>
          <w:szCs w:val="28"/>
        </w:rPr>
        <w:t>обеспечение открытости, состязательности, гласности и прозрачности, предотвращение коррупции и других злоупотреблений обеспечивающих аукцион.</w:t>
      </w:r>
    </w:p>
    <w:p w:rsidR="009F235E" w:rsidRDefault="009F235E">
      <w:pPr>
        <w:pStyle w:val="af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Организация</w:t>
      </w:r>
      <w:r>
        <w:rPr>
          <w:szCs w:val="28"/>
        </w:rPr>
        <w:t xml:space="preserve"> и проведение аукциона.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Заключение Договора осуществляется на основе электронного аукциона, проводимого ГКУ НСО ТУАД (далее-Учреждение) в соответствии с законодательством Российской Федерации и настоящим Порядком.</w:t>
      </w: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Для проведения аукциона создается комиссия, которая осуществляет свою деятельность на основании положения о комиссии, утвержденного Приказом ГКУ НСО ТУАД. Число членов комиссии не может быть менее чем пять человек.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Учреждение: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принимает решение о проведе</w:t>
      </w:r>
      <w:r>
        <w:rPr>
          <w:szCs w:val="28"/>
        </w:rPr>
        <w:t>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по заявлению юридического лица, физического лица, индивидуального предпринимателя или по собственному усмотрению;</w:t>
      </w:r>
    </w:p>
    <w:p w:rsidR="009F235E" w:rsidRDefault="005C1202">
      <w:pPr>
        <w:pStyle w:val="af5"/>
        <w:ind w:left="394" w:firstLine="315"/>
        <w:jc w:val="both"/>
        <w:rPr>
          <w:szCs w:val="28"/>
        </w:rPr>
      </w:pPr>
      <w:r>
        <w:rPr>
          <w:szCs w:val="28"/>
        </w:rPr>
        <w:t>- создает постоянно действующую комиссию по проведению аукциона;</w:t>
      </w:r>
    </w:p>
    <w:p w:rsidR="009F235E" w:rsidRDefault="005C1202">
      <w:pPr>
        <w:pStyle w:val="af5"/>
        <w:ind w:left="394" w:firstLine="315"/>
        <w:jc w:val="both"/>
        <w:rPr>
          <w:szCs w:val="28"/>
        </w:rPr>
      </w:pPr>
      <w:r>
        <w:rPr>
          <w:szCs w:val="28"/>
        </w:rPr>
        <w:t>- устанавливает «шаг аукциона»;</w:t>
      </w:r>
    </w:p>
    <w:p w:rsidR="009F235E" w:rsidRDefault="005C1202">
      <w:pPr>
        <w:pStyle w:val="af5"/>
        <w:ind w:left="394" w:firstLine="315"/>
        <w:jc w:val="both"/>
        <w:rPr>
          <w:szCs w:val="28"/>
        </w:rPr>
      </w:pPr>
      <w:r>
        <w:rPr>
          <w:szCs w:val="28"/>
        </w:rPr>
        <w:t>- утверждает документацию аукциона;</w:t>
      </w:r>
    </w:p>
    <w:p w:rsidR="009F235E" w:rsidRDefault="005C1202">
      <w:pPr>
        <w:pStyle w:val="af5"/>
        <w:ind w:left="709" w:firstLine="0"/>
        <w:jc w:val="both"/>
        <w:rPr>
          <w:szCs w:val="28"/>
        </w:rPr>
      </w:pPr>
      <w:r>
        <w:rPr>
          <w:szCs w:val="28"/>
        </w:rPr>
        <w:t>- принимает решение о внесении изменений в извещение о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кциона, документацию об аукционе;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устанавливает на основании отчета независимого оценщика начальный (минимальный) размер платы за предмет аукциона;</w:t>
      </w:r>
    </w:p>
    <w:p w:rsidR="009F235E" w:rsidRDefault="005C1202">
      <w:pPr>
        <w:pStyle w:val="af5"/>
        <w:ind w:left="394" w:firstLine="315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определяет размер обеспечения заявки (задатка);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заключает договор с победителем аукциона по форме Приложения 1 к настоящему Порядку в срок и в порядке, установленном настоящим Порядком.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Организатор аукциона: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>- разрабатывает и утверждает извещение о прове</w:t>
      </w:r>
      <w:r>
        <w:rPr>
          <w:szCs w:val="28"/>
        </w:rPr>
        <w:t>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(далее извещение);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>- разрабатывает документацию об аукционе;</w:t>
      </w:r>
    </w:p>
    <w:p w:rsidR="009F235E" w:rsidRDefault="005C1202">
      <w:pPr>
        <w:pStyle w:val="af5"/>
        <w:ind w:firstLine="709"/>
        <w:jc w:val="both"/>
        <w:rPr>
          <w:rStyle w:val="af8"/>
          <w:szCs w:val="28"/>
        </w:rPr>
      </w:pPr>
      <w:r>
        <w:rPr>
          <w:szCs w:val="28"/>
        </w:rPr>
        <w:t>- размещает извещение и аукционную документацию на сайте ГКУ НСО ТУАД и на ЭТП, а также на официальном сайте Российской Федерации информационно-телекоммуникационной сети «Интернет»</w:t>
      </w:r>
      <w:r>
        <w:rPr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proofErr w:type="spellStart"/>
      <w:r>
        <w:rPr>
          <w:szCs w:val="28"/>
        </w:rPr>
        <w:t>сайт:</w:t>
      </w:r>
      <w:r>
        <w:rPr>
          <w:color w:val="0000FF"/>
        </w:rPr>
        <w:t>www.rts-tender.ru</w:t>
      </w:r>
      <w:proofErr w:type="spellEnd"/>
      <w:r>
        <w:rPr>
          <w:rStyle w:val="af8"/>
          <w:szCs w:val="28"/>
          <w:u w:val="none"/>
        </w:rPr>
        <w:t>);</w:t>
      </w:r>
    </w:p>
    <w:p w:rsidR="009F235E" w:rsidRDefault="005C1202">
      <w:pPr>
        <w:pStyle w:val="af5"/>
        <w:ind w:firstLine="754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lastRenderedPageBreak/>
        <w:t>- определяет дату и место проведения аукциона, дату начала и окончания приема заявок;</w:t>
      </w:r>
    </w:p>
    <w:p w:rsidR="009F235E" w:rsidRDefault="005C1202">
      <w:pPr>
        <w:pStyle w:val="af5"/>
        <w:ind w:firstLine="754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>- уведомляет претендентов на участие в аукционе</w:t>
      </w:r>
      <w:r>
        <w:rPr>
          <w:rStyle w:val="af8"/>
          <w:color w:val="auto"/>
          <w:szCs w:val="28"/>
          <w:u w:val="none"/>
        </w:rPr>
        <w:t xml:space="preserve"> о признании таких претендентов участниками аукциона или </w:t>
      </w:r>
      <w:proofErr w:type="gramStart"/>
      <w:r>
        <w:rPr>
          <w:rStyle w:val="af8"/>
          <w:color w:val="auto"/>
          <w:szCs w:val="28"/>
          <w:u w:val="none"/>
        </w:rPr>
        <w:t>об отказе в допуске к участию в аукционе по основаниям</w:t>
      </w:r>
      <w:proofErr w:type="gramEnd"/>
      <w:r>
        <w:rPr>
          <w:rStyle w:val="af8"/>
          <w:color w:val="auto"/>
          <w:szCs w:val="28"/>
          <w:u w:val="none"/>
        </w:rPr>
        <w:t>, установленным настоящим Порядком, посредством размещения протокола рассмотрения заявок на сайте Учреждения;</w:t>
      </w:r>
    </w:p>
    <w:p w:rsidR="009F235E" w:rsidRDefault="005C1202">
      <w:pPr>
        <w:pStyle w:val="af5"/>
        <w:ind w:firstLine="754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 xml:space="preserve">- по запросу заявителей разъясняет </w:t>
      </w:r>
      <w:r>
        <w:rPr>
          <w:rStyle w:val="af8"/>
          <w:color w:val="auto"/>
          <w:szCs w:val="28"/>
          <w:u w:val="none"/>
        </w:rPr>
        <w:t>положения извещения, документации об аукционе в порядке и сроки предусмотренные извещением и настоящим Порядком;</w:t>
      </w:r>
    </w:p>
    <w:p w:rsidR="009F235E" w:rsidRDefault="005C1202">
      <w:pPr>
        <w:pStyle w:val="af5"/>
        <w:ind w:left="754" w:firstLine="0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>- обеспечивает сохранность заявок на участие в аукционе, протоколов;</w:t>
      </w:r>
    </w:p>
    <w:p w:rsidR="009F235E" w:rsidRDefault="005C1202">
      <w:pPr>
        <w:pStyle w:val="af5"/>
        <w:ind w:left="754" w:firstLine="0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>- выполняет иные функции, связанные с организацией и проведением  аукциона</w:t>
      </w:r>
      <w:r>
        <w:rPr>
          <w:rStyle w:val="af8"/>
          <w:color w:val="auto"/>
          <w:szCs w:val="28"/>
          <w:u w:val="none"/>
        </w:rPr>
        <w:t>;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Заявитель: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проходит регистрацию и аккредитацию на ЭТП, определенную для проведения аукциона на право заключения договора на установку и эксплуатацию рекламной конструкции;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подает заявку на участие в аукционе как по одному лоту, так и в отношении неск</w:t>
      </w:r>
      <w:r>
        <w:rPr>
          <w:szCs w:val="28"/>
        </w:rPr>
        <w:t>ольких лотов по форме Приложение 2 к настоящему Порядку;</w:t>
      </w:r>
    </w:p>
    <w:p w:rsidR="009F235E" w:rsidRDefault="005C1202">
      <w:pPr>
        <w:pStyle w:val="af5"/>
        <w:ind w:left="394" w:firstLine="315"/>
        <w:jc w:val="both"/>
        <w:rPr>
          <w:szCs w:val="28"/>
        </w:rPr>
      </w:pPr>
      <w:r>
        <w:rPr>
          <w:szCs w:val="28"/>
        </w:rPr>
        <w:t>- обеспечивает достоверность предоставленной информации;</w:t>
      </w:r>
    </w:p>
    <w:p w:rsidR="009F235E" w:rsidRDefault="005C1202">
      <w:pPr>
        <w:pStyle w:val="af5"/>
        <w:ind w:left="709" w:firstLine="0"/>
        <w:jc w:val="both"/>
        <w:rPr>
          <w:szCs w:val="28"/>
        </w:rPr>
      </w:pPr>
      <w:r>
        <w:rPr>
          <w:szCs w:val="28"/>
        </w:rPr>
        <w:t>- для участия в аукционе вносит задаток в размере, в сроки и на счет, указанные в извещении;</w:t>
      </w:r>
    </w:p>
    <w:p w:rsidR="009F235E" w:rsidRDefault="005C1202">
      <w:pPr>
        <w:pStyle w:val="af5"/>
        <w:ind w:firstLine="0"/>
        <w:jc w:val="both"/>
        <w:rPr>
          <w:szCs w:val="28"/>
        </w:rPr>
      </w:pPr>
      <w:r>
        <w:rPr>
          <w:szCs w:val="28"/>
        </w:rPr>
        <w:t>- вправе отозвать или изменить поданную заявку на участие в аукционе до окончания срока приема заявок;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Участник аукциона: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участвует в аукционе, руководствуясь положениями настоящего Порядка, регламентом ЭТП и действующим законодательством.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в случае поб</w:t>
      </w:r>
      <w:r>
        <w:rPr>
          <w:szCs w:val="28"/>
        </w:rPr>
        <w:t xml:space="preserve">еды в аукционе приобретает права и </w:t>
      </w:r>
      <w:proofErr w:type="gramStart"/>
      <w:r>
        <w:rPr>
          <w:szCs w:val="28"/>
        </w:rPr>
        <w:t>несет обязанности</w:t>
      </w:r>
      <w:proofErr w:type="gramEnd"/>
      <w:r>
        <w:rPr>
          <w:szCs w:val="28"/>
        </w:rPr>
        <w:t xml:space="preserve"> в соответствии с условиями документации об аукционе;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Оператор ЭТП:</w:t>
      </w:r>
    </w:p>
    <w:p w:rsidR="009F235E" w:rsidRDefault="005C1202">
      <w:pPr>
        <w:pStyle w:val="af5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- обеспечивает предоставление организатору аукциона функционала ЭТП для приема заявок через ЭТП, осуществления иных операций, связанных </w:t>
      </w:r>
      <w:r>
        <w:rPr>
          <w:szCs w:val="28"/>
        </w:rPr>
        <w:t>с проведением аукциона;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принимает, регистрирует заявки, обеспечивает уведомление заявителей о признании их участниками торгов;</w:t>
      </w:r>
    </w:p>
    <w:p w:rsidR="009F235E" w:rsidRDefault="005C1202">
      <w:pPr>
        <w:pStyle w:val="af5"/>
        <w:ind w:left="142" w:firstLine="709"/>
        <w:jc w:val="both"/>
        <w:rPr>
          <w:szCs w:val="28"/>
        </w:rPr>
      </w:pPr>
      <w:r>
        <w:rPr>
          <w:szCs w:val="28"/>
        </w:rPr>
        <w:t>- осуществляет блокирование денежных средств по счету для проведения операций по обеспечению участия в аукционе заявителя, пода</w:t>
      </w:r>
      <w:r>
        <w:rPr>
          <w:szCs w:val="28"/>
        </w:rPr>
        <w:t>вшего такую заявку, в отношении денежных сре</w:t>
      </w:r>
      <w:proofErr w:type="gramStart"/>
      <w:r>
        <w:rPr>
          <w:szCs w:val="28"/>
        </w:rPr>
        <w:t>дств в р</w:t>
      </w:r>
      <w:proofErr w:type="gramEnd"/>
      <w:r>
        <w:rPr>
          <w:szCs w:val="28"/>
        </w:rPr>
        <w:t>азмере обеспечения заявки на участие в аукционе (задатка);</w:t>
      </w:r>
    </w:p>
    <w:p w:rsidR="009F235E" w:rsidRDefault="005C1202">
      <w:pPr>
        <w:pStyle w:val="af5"/>
        <w:ind w:left="851" w:firstLine="0"/>
        <w:jc w:val="both"/>
        <w:rPr>
          <w:szCs w:val="28"/>
        </w:rPr>
      </w:pPr>
      <w:r>
        <w:rPr>
          <w:szCs w:val="28"/>
        </w:rPr>
        <w:t>- обеспечивает работоспособность и функционирование ЭТП;</w:t>
      </w:r>
    </w:p>
    <w:p w:rsidR="009F235E" w:rsidRDefault="005C1202">
      <w:pPr>
        <w:pStyle w:val="af5"/>
        <w:ind w:left="851" w:firstLine="0"/>
        <w:jc w:val="both"/>
        <w:rPr>
          <w:szCs w:val="28"/>
        </w:rPr>
      </w:pPr>
      <w:r>
        <w:rPr>
          <w:szCs w:val="28"/>
        </w:rPr>
        <w:t>- размещает на ЭТП протокол проведения аукциона;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выполняет иные функции, необходимые д</w:t>
      </w:r>
      <w:r>
        <w:rPr>
          <w:szCs w:val="28"/>
        </w:rPr>
        <w:t>ля проведения аукциона, в соответствии с установленным регламентом ЭТП;</w:t>
      </w:r>
    </w:p>
    <w:p w:rsidR="009F235E" w:rsidRDefault="005C1202">
      <w:pPr>
        <w:pStyle w:val="af5"/>
        <w:numPr>
          <w:ilvl w:val="1"/>
          <w:numId w:val="2"/>
        </w:numPr>
        <w:ind w:hanging="45"/>
        <w:jc w:val="both"/>
        <w:rPr>
          <w:szCs w:val="28"/>
        </w:rPr>
      </w:pPr>
      <w:r>
        <w:rPr>
          <w:szCs w:val="28"/>
        </w:rPr>
        <w:t>Комиссия: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lastRenderedPageBreak/>
        <w:t>- осуществляет рассмотрение заявок на участие в аукционе и прилагаемых к ним документов;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принимает решение о признании заявителей на участие в аукционе участниками аукциона</w:t>
      </w:r>
      <w:r>
        <w:rPr>
          <w:szCs w:val="28"/>
        </w:rPr>
        <w:t xml:space="preserve"> или </w:t>
      </w:r>
      <w:proofErr w:type="gramStart"/>
      <w:r>
        <w:rPr>
          <w:szCs w:val="28"/>
        </w:rPr>
        <w:t>об отказе в допуске к участию в аукционе по основаниям</w:t>
      </w:r>
      <w:proofErr w:type="gramEnd"/>
      <w:r>
        <w:rPr>
          <w:szCs w:val="28"/>
        </w:rPr>
        <w:t>, установленным настоящим Порядком;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 xml:space="preserve">- принимает решение о признании аукциона </w:t>
      </w:r>
      <w:proofErr w:type="gramStart"/>
      <w:r>
        <w:rPr>
          <w:szCs w:val="28"/>
        </w:rPr>
        <w:t>несостоявшимся</w:t>
      </w:r>
      <w:proofErr w:type="gramEnd"/>
      <w:r>
        <w:rPr>
          <w:szCs w:val="28"/>
        </w:rPr>
        <w:t>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>- определяет победителя аукциона;</w:t>
      </w:r>
    </w:p>
    <w:p w:rsidR="009F235E" w:rsidRDefault="005C1202">
      <w:pPr>
        <w:pStyle w:val="af5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оформляет и подписывает</w:t>
      </w:r>
      <w:proofErr w:type="gramEnd"/>
      <w:r>
        <w:rPr>
          <w:szCs w:val="28"/>
        </w:rPr>
        <w:t xml:space="preserve"> протокол о рассмотрении заявок на участие в аукционе, протокол о результатах аукциона;</w:t>
      </w:r>
    </w:p>
    <w:p w:rsidR="009F235E" w:rsidRDefault="005C1202">
      <w:pPr>
        <w:pStyle w:val="af5"/>
        <w:ind w:left="851" w:firstLine="0"/>
        <w:jc w:val="both"/>
        <w:rPr>
          <w:szCs w:val="28"/>
        </w:rPr>
      </w:pPr>
      <w:r>
        <w:rPr>
          <w:szCs w:val="28"/>
        </w:rPr>
        <w:t>- осуществляет иные, предусмотренные настоящим Порядком полномочия.</w:t>
      </w:r>
    </w:p>
    <w:p w:rsidR="009F235E" w:rsidRDefault="005C1202">
      <w:pPr>
        <w:pStyle w:val="af5"/>
        <w:numPr>
          <w:ilvl w:val="1"/>
          <w:numId w:val="2"/>
        </w:numPr>
        <w:ind w:left="0" w:firstLine="851"/>
        <w:jc w:val="both"/>
        <w:rPr>
          <w:szCs w:val="28"/>
        </w:rPr>
      </w:pPr>
      <w:r>
        <w:rPr>
          <w:szCs w:val="28"/>
        </w:rPr>
        <w:t>Начальная (минимальная) цена предмета аукциона на право заключения договора на установку и эксплуата</w:t>
      </w:r>
      <w:r>
        <w:rPr>
          <w:szCs w:val="28"/>
        </w:rPr>
        <w:t>цию рекламной конструкции устанавливается в размере ежегодной платы по договору на установку и эксплуатацию рекламной конструкции, определенной по результатам рыночной оценки в соответствии с Федеральным законом от 29.07.1998 г. №135-ФЗ «Об оценочной деяте</w:t>
      </w:r>
      <w:r>
        <w:rPr>
          <w:szCs w:val="28"/>
        </w:rPr>
        <w:t>льности в Российской Федерации».</w:t>
      </w:r>
    </w:p>
    <w:p w:rsidR="009F235E" w:rsidRDefault="005C1202">
      <w:pPr>
        <w:pStyle w:val="af5"/>
        <w:numPr>
          <w:ilvl w:val="1"/>
          <w:numId w:val="2"/>
        </w:numPr>
        <w:ind w:left="0" w:firstLine="851"/>
        <w:jc w:val="both"/>
        <w:rPr>
          <w:szCs w:val="28"/>
        </w:rPr>
      </w:pPr>
      <w:r>
        <w:rPr>
          <w:szCs w:val="28"/>
        </w:rPr>
        <w:t>Задаток для участия в аукционе определяется в размере 20 процентов от начальной (минимальной) цены лота.</w:t>
      </w:r>
    </w:p>
    <w:p w:rsidR="009F235E" w:rsidRDefault="009F235E">
      <w:pPr>
        <w:pStyle w:val="af5"/>
        <w:ind w:left="394" w:firstLine="315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Требования к заявителям, участникам аукциона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3.1.1.Участником аукциона</w:t>
      </w:r>
      <w:r>
        <w:rPr>
          <w:color w:val="212529"/>
          <w:szCs w:val="28"/>
          <w:shd w:val="clear" w:color="auto" w:fill="FFFFFF"/>
        </w:rPr>
        <w:t xml:space="preserve">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</w:t>
      </w:r>
    </w:p>
    <w:p w:rsidR="009F235E" w:rsidRDefault="009F235E">
      <w:pPr>
        <w:pStyle w:val="af5"/>
        <w:ind w:left="754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Извещение о </w:t>
      </w:r>
      <w:r>
        <w:rPr>
          <w:szCs w:val="28"/>
        </w:rPr>
        <w:t>проведении электронного аукциона и аукционная документация.</w:t>
      </w:r>
    </w:p>
    <w:p w:rsidR="009F235E" w:rsidRDefault="005C1202">
      <w:pPr>
        <w:pStyle w:val="af5"/>
        <w:numPr>
          <w:ilvl w:val="1"/>
          <w:numId w:val="2"/>
        </w:numPr>
        <w:ind w:firstLine="97"/>
        <w:jc w:val="both"/>
        <w:rPr>
          <w:szCs w:val="28"/>
        </w:rPr>
      </w:pPr>
      <w:r>
        <w:rPr>
          <w:szCs w:val="28"/>
        </w:rPr>
        <w:t xml:space="preserve">Организатор аукциона размещает извещение, документацию об аукционе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30 (тридцать) дней до даты проведения аукциона на сайте ГКУ НСО ТУАД в сети Интернет, а так же обеспечивает их </w:t>
      </w:r>
      <w:r>
        <w:rPr>
          <w:szCs w:val="28"/>
        </w:rPr>
        <w:t>размещение на ЭТП.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 xml:space="preserve">Оператор ЭТП в сети </w:t>
      </w:r>
      <w:proofErr w:type="spellStart"/>
      <w:r>
        <w:rPr>
          <w:szCs w:val="28"/>
        </w:rPr>
        <w:t>Интернет</w:t>
      </w:r>
      <w:proofErr w:type="gramStart"/>
      <w:r>
        <w:rPr>
          <w:szCs w:val="28"/>
        </w:rPr>
        <w:t>:О</w:t>
      </w:r>
      <w:proofErr w:type="gramEnd"/>
      <w:r>
        <w:rPr>
          <w:szCs w:val="28"/>
        </w:rPr>
        <w:t>ОО</w:t>
      </w:r>
      <w:proofErr w:type="spellEnd"/>
      <w:r>
        <w:rPr>
          <w:szCs w:val="28"/>
        </w:rPr>
        <w:t xml:space="preserve"> «РТС-тендер».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>ИНН 7710357167, КПП 773001001, ОГРН 1027739521666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 xml:space="preserve">Место нахождения: 127006, г. Москва, ул. </w:t>
      </w:r>
      <w:proofErr w:type="spellStart"/>
      <w:r>
        <w:rPr>
          <w:szCs w:val="28"/>
        </w:rPr>
        <w:t>Долгоруковская</w:t>
      </w:r>
      <w:proofErr w:type="spellEnd"/>
      <w:r>
        <w:rPr>
          <w:szCs w:val="28"/>
        </w:rPr>
        <w:t>, д. 38, стр. 1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>Сайт:</w:t>
      </w:r>
      <w:r>
        <w:rPr>
          <w:color w:val="0000FF"/>
        </w:rPr>
        <w:t xml:space="preserve"> www.rts-tender.ru</w:t>
      </w:r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 xml:space="preserve">Адрес электронной почты: </w:t>
      </w:r>
      <w:proofErr w:type="spellStart"/>
      <w:r>
        <w:rPr>
          <w:szCs w:val="28"/>
          <w:lang w:val="en-US"/>
        </w:rPr>
        <w:t>iSupport</w:t>
      </w:r>
      <w:proofErr w:type="spellEnd"/>
      <w:r>
        <w:rPr>
          <w:szCs w:val="28"/>
        </w:rPr>
        <w:t>@</w:t>
      </w:r>
      <w:proofErr w:type="spellStart"/>
      <w:r>
        <w:rPr>
          <w:szCs w:val="28"/>
          <w:lang w:val="en-US"/>
        </w:rPr>
        <w:t>rts</w:t>
      </w:r>
      <w:proofErr w:type="spellEnd"/>
      <w:r>
        <w:rPr>
          <w:szCs w:val="28"/>
        </w:rPr>
        <w:t>-</w:t>
      </w:r>
      <w:r>
        <w:rPr>
          <w:szCs w:val="28"/>
          <w:lang w:val="en-US"/>
        </w:rPr>
        <w:t>tender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9F235E" w:rsidRDefault="005C1202">
      <w:pPr>
        <w:pStyle w:val="af5"/>
        <w:ind w:left="754" w:firstLine="0"/>
        <w:jc w:val="both"/>
        <w:rPr>
          <w:szCs w:val="28"/>
        </w:rPr>
      </w:pPr>
      <w:r>
        <w:rPr>
          <w:szCs w:val="28"/>
        </w:rPr>
        <w:t>Тел.: +7 (499) 653-55-00, +7 (800) 500-75-00, +7 (499) 653-77-00, факс: +7 (495) 733-95-19.</w:t>
      </w:r>
    </w:p>
    <w:p w:rsidR="009F235E" w:rsidRDefault="005C1202">
      <w:pPr>
        <w:pStyle w:val="af5"/>
        <w:ind w:firstLine="754"/>
        <w:jc w:val="both"/>
        <w:rPr>
          <w:rStyle w:val="af8"/>
          <w:color w:val="auto"/>
          <w:szCs w:val="28"/>
          <w:u w:val="none"/>
        </w:rPr>
      </w:pPr>
      <w:r>
        <w:rPr>
          <w:szCs w:val="28"/>
        </w:rPr>
        <w:t>Для обеспечения доступа к участию в аукционе в электронной форме заявителям необходимо пройти регистрацию в соответствии с Регламентом ЭТП оператора торгов:</w:t>
      </w:r>
      <w:r>
        <w:rPr>
          <w:color w:val="0000FF"/>
        </w:rPr>
        <w:t xml:space="preserve"> </w:t>
      </w:r>
      <w:hyperlink r:id="rId9" w:tooltip="http://www.rts-tender.ru" w:history="1">
        <w:r>
          <w:rPr>
            <w:rStyle w:val="af8"/>
          </w:rPr>
          <w:t>www.rts-tender.ru</w:t>
        </w:r>
      </w:hyperlink>
      <w:r>
        <w:rPr>
          <w:rStyle w:val="af8"/>
          <w:color w:val="auto"/>
          <w:szCs w:val="28"/>
          <w:u w:val="none"/>
        </w:rPr>
        <w:t>.</w:t>
      </w:r>
    </w:p>
    <w:p w:rsidR="009F235E" w:rsidRDefault="005C1202">
      <w:pPr>
        <w:pStyle w:val="af5"/>
        <w:ind w:firstLine="754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lastRenderedPageBreak/>
        <w:t>Дата и время регистрации на электронной площадке заявителей на участие в аукционе осуществляется ежедневно, круглосуточно, но не позднее даты и времени окончания подачи (</w:t>
      </w:r>
      <w:r>
        <w:rPr>
          <w:rStyle w:val="af8"/>
          <w:color w:val="auto"/>
          <w:szCs w:val="28"/>
          <w:u w:val="none"/>
        </w:rPr>
        <w:t>приема) заявок, указанных в извещении.</w:t>
      </w:r>
    </w:p>
    <w:p w:rsidR="009F235E" w:rsidRDefault="005C1202">
      <w:pPr>
        <w:pStyle w:val="af5"/>
        <w:ind w:firstLine="709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>Регистрация на электронной площадке осуществляется без взимания платы.</w:t>
      </w:r>
    </w:p>
    <w:p w:rsidR="009F235E" w:rsidRDefault="005C1202">
      <w:pPr>
        <w:pStyle w:val="af5"/>
        <w:ind w:firstLine="709"/>
        <w:jc w:val="both"/>
        <w:rPr>
          <w:rStyle w:val="af8"/>
          <w:color w:val="auto"/>
          <w:szCs w:val="28"/>
          <w:u w:val="none"/>
        </w:rPr>
      </w:pPr>
      <w:r>
        <w:rPr>
          <w:rStyle w:val="af8"/>
          <w:color w:val="auto"/>
          <w:szCs w:val="28"/>
          <w:u w:val="none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</w:t>
      </w:r>
      <w:r>
        <w:rPr>
          <w:rStyle w:val="af8"/>
          <w:color w:val="auto"/>
          <w:szCs w:val="28"/>
          <w:u w:val="none"/>
        </w:rPr>
        <w:t xml:space="preserve"> площадке, была ими прекращена;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rStyle w:val="af8"/>
          <w:color w:val="auto"/>
          <w:szCs w:val="28"/>
          <w:u w:val="none"/>
        </w:rPr>
        <w:t xml:space="preserve">Порядок работы заявителей на электронной площадке, системные требования и требования к программному обеспечению </w:t>
      </w:r>
      <w:proofErr w:type="gramStart"/>
      <w:r>
        <w:rPr>
          <w:rStyle w:val="af8"/>
          <w:color w:val="auto"/>
          <w:szCs w:val="28"/>
          <w:u w:val="none"/>
        </w:rPr>
        <w:t>устанавливаются оператором и размещены</w:t>
      </w:r>
      <w:proofErr w:type="gramEnd"/>
      <w:r>
        <w:rPr>
          <w:rStyle w:val="af8"/>
          <w:color w:val="auto"/>
          <w:szCs w:val="28"/>
          <w:u w:val="none"/>
        </w:rPr>
        <w:t xml:space="preserve"> на сайте оператора</w:t>
      </w:r>
      <w:r>
        <w:rPr>
          <w:szCs w:val="28"/>
        </w:rPr>
        <w:t>:</w:t>
      </w:r>
      <w:r>
        <w:rPr>
          <w:color w:val="0000FF"/>
        </w:rPr>
        <w:t xml:space="preserve"> </w:t>
      </w:r>
      <w:r>
        <w:rPr>
          <w:color w:val="0000FF"/>
          <w:lang w:val="en-US"/>
        </w:rPr>
        <w:t>http</w:t>
      </w:r>
      <w:r>
        <w:rPr>
          <w:color w:val="0000FF"/>
        </w:rPr>
        <w:t>://</w:t>
      </w:r>
      <w:r>
        <w:rPr>
          <w:color w:val="0000FF"/>
          <w:lang w:val="en-US"/>
        </w:rPr>
        <w:t>help</w:t>
      </w:r>
      <w:r>
        <w:rPr>
          <w:color w:val="0000FF"/>
        </w:rPr>
        <w:t>.rts-tender.ru</w:t>
      </w:r>
      <w:r>
        <w:rPr>
          <w:rStyle w:val="af8"/>
          <w:color w:val="auto"/>
          <w:szCs w:val="28"/>
          <w:u w:val="none"/>
        </w:rPr>
        <w:t>/.</w:t>
      </w:r>
    </w:p>
    <w:p w:rsidR="009F235E" w:rsidRDefault="005C1202">
      <w:pPr>
        <w:pStyle w:val="af5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Извещение должно содержать следующие обязательные сведения:</w:t>
      </w:r>
    </w:p>
    <w:p w:rsidR="009F235E" w:rsidRDefault="005C1202">
      <w:pPr>
        <w:pStyle w:val="af5"/>
        <w:ind w:left="426" w:firstLine="0"/>
        <w:jc w:val="both"/>
        <w:rPr>
          <w:szCs w:val="28"/>
        </w:rPr>
      </w:pPr>
      <w:r>
        <w:rPr>
          <w:szCs w:val="28"/>
        </w:rPr>
        <w:t>- основание проведения аукциона;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полное и сокращенное (при наличии) наименование юридического лица, ад</w:t>
      </w:r>
      <w:r>
        <w:rPr>
          <w:color w:val="212529"/>
          <w:sz w:val="28"/>
          <w:szCs w:val="28"/>
        </w:rPr>
        <w:t>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место расположения, описание и технические характеристики государственного или муниципального имущества, права на которое передаются по договору. Целевое назначение государственного или муниципального имущества, права на которое передаются по договору;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- начальную (минимальную) цену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права на которое передаются по договору, в размере ежемеся</w:t>
      </w:r>
      <w:r>
        <w:rPr>
          <w:color w:val="212529"/>
          <w:sz w:val="28"/>
          <w:szCs w:val="28"/>
        </w:rPr>
        <w:t>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имуществом;</w:t>
      </w:r>
      <w:proofErr w:type="gramEnd"/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срок действия договора;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порядок, дату и время окончания срока подачи заяв</w:t>
      </w:r>
      <w:r>
        <w:rPr>
          <w:color w:val="212529"/>
          <w:sz w:val="28"/>
          <w:szCs w:val="28"/>
        </w:rPr>
        <w:t>ок на участие в аукционе. При этом датой начала срока подачи заявок на участие в аукционе является день, следующий за днем размещения на официальном сайте извещения о проведен</w:t>
      </w:r>
      <w:proofErr w:type="gramStart"/>
      <w:r>
        <w:rPr>
          <w:color w:val="212529"/>
          <w:sz w:val="28"/>
          <w:szCs w:val="28"/>
        </w:rPr>
        <w:t>ии ау</w:t>
      </w:r>
      <w:proofErr w:type="gramEnd"/>
      <w:r>
        <w:rPr>
          <w:color w:val="212529"/>
          <w:sz w:val="28"/>
          <w:szCs w:val="28"/>
        </w:rPr>
        <w:t>кциона. Местом подачи заявок на участие в аукционе является электронная площ</w:t>
      </w:r>
      <w:r>
        <w:rPr>
          <w:color w:val="212529"/>
          <w:sz w:val="28"/>
          <w:szCs w:val="28"/>
        </w:rPr>
        <w:t>адка;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требование о внесении задатка, размер задатка, срок и порядок внесения задатка, реквизиты счета для перечисления задатка;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дату и время начала рассмотрения заявок на участие в аукционе;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величину повышения начальной цены договора ("шаг аукциона")</w:t>
      </w:r>
      <w:r>
        <w:rPr>
          <w:color w:val="212529"/>
          <w:sz w:val="28"/>
          <w:szCs w:val="28"/>
        </w:rPr>
        <w:t>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дату и время начала проведения аукциона;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сроки и порядок оплаты по договору;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срок, в течение которого организатор аукциона вправе отказаться от проведения аукциона;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426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срок, в течение которого должен быть подписан проект договора.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Учреждение вправе </w:t>
      </w:r>
      <w:r>
        <w:rPr>
          <w:szCs w:val="28"/>
        </w:rPr>
        <w:t xml:space="preserve">принять решение о внесении изменений в извещение, документацию об аукционе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5 (пять) рабочих дней до даты окончания срока подачи заявок.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течении</w:t>
      </w:r>
      <w:proofErr w:type="gramEnd"/>
      <w:r>
        <w:rPr>
          <w:szCs w:val="28"/>
        </w:rPr>
        <w:t xml:space="preserve"> 1 (одного) рабочего дня с даты принятия указанного решения организатор аукциона размещает та</w:t>
      </w:r>
      <w:r>
        <w:rPr>
          <w:szCs w:val="28"/>
        </w:rPr>
        <w:t>кие изменения на официальном сайте ГКУ НСО ТУАД в сети интернет, а так же обеспечивает их размещение на ЭТП.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 xml:space="preserve">При этом срок подачи заявок на участие в аукционе должен быть продлен таким образом, чтобы </w:t>
      </w:r>
      <w:proofErr w:type="gramStart"/>
      <w:r>
        <w:rPr>
          <w:szCs w:val="28"/>
        </w:rPr>
        <w:t>с даты размещения</w:t>
      </w:r>
      <w:proofErr w:type="gramEnd"/>
      <w:r>
        <w:rPr>
          <w:szCs w:val="28"/>
        </w:rPr>
        <w:t xml:space="preserve"> внесенных изменений в извещение, докум</w:t>
      </w:r>
      <w:r>
        <w:rPr>
          <w:szCs w:val="28"/>
        </w:rPr>
        <w:t>ентацию об аукционе до даты окончания подачи заявок на участие в аукционе этот срок составляет не менее 20 (двадцати) дней.</w:t>
      </w:r>
    </w:p>
    <w:p w:rsidR="009F235E" w:rsidRDefault="005C1202">
      <w:pPr>
        <w:pStyle w:val="af5"/>
        <w:numPr>
          <w:ilvl w:val="1"/>
          <w:numId w:val="2"/>
        </w:numPr>
        <w:ind w:hanging="187"/>
        <w:jc w:val="both"/>
        <w:rPr>
          <w:szCs w:val="28"/>
        </w:rPr>
      </w:pPr>
      <w:r>
        <w:rPr>
          <w:szCs w:val="28"/>
        </w:rPr>
        <w:t>Аукционная документация должна содержать следующие обязательные сведения: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содержанию, составу и форме заявки на участие в аукционе, установленные в соответствии с настоящим Порядком;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пересмотра цены договора (цены лота) в сторону увеличения, а также указание на то, что цена заключенного договора не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пересмотрена сторонами в сторону уменьшения;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луг), поставка (выполнение, оказание) которых происходит с использованием имущества, права на которое передаются по договору, в случае, если создание и передача такого имущества предусмотрены договором;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 срок отзыва заявок на участие в аукционе,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в настоящем Порядке;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формы, порядок, даты начала и окончания предоставления участникам аукциона разъяснений положений документации об аукционе, устанавливаемые в соответствии с настоящим Порядком;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обеспечения исполнения договора,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его предоставления в случае, если организатором аукциона установлено требование об обеспечении исполнения договора;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дату, время, график проведения осмотра имущества, права на которое передаются по договору;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подтверждающе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согласие собственника имущества (а в случае заключения договора субаренды также и арендодателя) на предоставление прав в отношении государственного или муниципального имущества по договору,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которого является предметом торгов;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согласие собственника имущества (арендодателя) на предоставление лицом, с которым заключается договор, прав в отношении государственного или муниципального имущества третьим лицам, или указание на то, что передача таких прав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тьим лицам не допускается;</w:t>
      </w:r>
    </w:p>
    <w:p w:rsidR="009F235E" w:rsidRDefault="005C1202">
      <w:pPr>
        <w:pStyle w:val="af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Учреждение вправе прин</w:t>
      </w:r>
      <w:r>
        <w:rPr>
          <w:szCs w:val="28"/>
        </w:rPr>
        <w:t xml:space="preserve">ять решение об отказе от проведения аукциона (отдельного лота) в любое время, но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5 (пять) рабочих дней до даты окончания срока подачи заявок;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Организатор аукциона размещает решение об отказе от проведения аукциона на сайте ГКУ НСО ТУАД в </w:t>
      </w:r>
      <w:r>
        <w:rPr>
          <w:szCs w:val="28"/>
        </w:rPr>
        <w:t>сети Интернет, а также обеспечивает его размещение на ЭТП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1 (одного) рабочего дня с даты принятия указанного решения.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Заинтересованные лица самостоятельно отслеживают возможные изменения, внесенные в извещение, документацию об аукционе, размещенн</w:t>
      </w:r>
      <w:r>
        <w:rPr>
          <w:szCs w:val="28"/>
        </w:rPr>
        <w:t>ые на ЭТП. Учреждение и организатор аукциона не несут ответственности в случае, если заинтересованное лицо не ознакомилось с изменениями, внесенными в извещение и документацию об аукционе и размещенными надлежащим образом.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Заявитель, участник аукциона впра</w:t>
      </w:r>
      <w:r>
        <w:rPr>
          <w:szCs w:val="28"/>
        </w:rPr>
        <w:t xml:space="preserve">ве направить запрос о разъяснении положений аукционной документации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3 (три) рабочих дня до окончания срока подачи заявок на участие в аукционе в порядке, установленном регламентом деятельности оператора ЭТП.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течение 2 (двух) рабочих дне</w:t>
      </w:r>
      <w:r>
        <w:rPr>
          <w:szCs w:val="28"/>
        </w:rPr>
        <w:t xml:space="preserve">й </w:t>
      </w:r>
      <w:proofErr w:type="gramStart"/>
      <w:r>
        <w:rPr>
          <w:szCs w:val="28"/>
        </w:rPr>
        <w:t>с даты поступления</w:t>
      </w:r>
      <w:proofErr w:type="gramEnd"/>
      <w:r>
        <w:rPr>
          <w:szCs w:val="28"/>
        </w:rPr>
        <w:t xml:space="preserve"> от оператора ЭТП, указанного в п.4.8 запроса, организатор аукциона размещает на сайте ГКУ НСО ТУАД, на ЭТП разъяснения положений документации об электронном аукционе с указанием предмета запроса, но без указания сведений о лице, направ</w:t>
      </w:r>
      <w:r>
        <w:rPr>
          <w:szCs w:val="28"/>
        </w:rPr>
        <w:t>ившем указанный запрос.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Разъяснение положений извещения, документации об аукционе не должно изменять их суть.</w:t>
      </w:r>
    </w:p>
    <w:p w:rsidR="009F235E" w:rsidRDefault="009F235E">
      <w:pPr>
        <w:pStyle w:val="af5"/>
        <w:ind w:left="754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Порядок подачи и рассмотрения заявок на участие в аукционе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Аукцион является открытым по составу участников и форме подачи заявок.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Для участия в аукционе заявитель, получивший аккредитацию, подает заявку на участие в аукционе.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Заявитель вправе подать заявку на участие в аукционе в любое время с момента размещения на ЭТП и на сайте Учреждения извещения о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в установле</w:t>
      </w:r>
      <w:r>
        <w:rPr>
          <w:szCs w:val="28"/>
        </w:rPr>
        <w:t>нные извещением и аукционной документацией сроки подачи заявок.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Заявка оформляется в соответствии с формой, установленной в извещении и аукционной документации. Заявка должна содержать: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юридического лица), адрес юридического лица или иностранного юридического лица (для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акк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редитованного филиала или представительства иностранного юридического лица - адрес (место нахождения) на территории Российской Федерации), фамилию, имя, отчество (при наличии), паспортные данные или данные иных документов, удостоверяющих личность в соответ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ствии с законодательством Российской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идентификационный номер налогоплательщика юридического лица (если заявителем 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 том числе зарегистрированног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соотве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тствующего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иностранного государства (если заявителем является иностранное лицо), код причины постановки на учет юридического лица (если заявителем является юридическое лицо), аккредитованного филиала или представительства иностранного юридического лица (ес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выписку из единого государ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документ, подтверждающий полномочия лица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теля без доверенности). В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вом Российской Федерации. В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решение об одобрении или о совер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юридического лица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если для заявит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еля заключение договора, внесение задатка или обеспечение исполнения договора являются крупной сделкой;</w:t>
      </w:r>
    </w:p>
    <w:p w:rsidR="009F235E" w:rsidRDefault="005C1202">
      <w:pPr>
        <w:pStyle w:val="af7"/>
        <w:shd w:val="clear" w:color="auto" w:fill="FFFFFF"/>
        <w:spacing w:after="100" w:afterAutospacing="1" w:line="240" w:lineRule="auto"/>
        <w:ind w:left="39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информацию о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непроведении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ального предпринимателя несостоятельным (банкротом) и об открытии конкурсного производства;</w:t>
      </w:r>
    </w:p>
    <w:p w:rsidR="009F235E" w:rsidRDefault="005C1202">
      <w:pPr>
        <w:pStyle w:val="af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документы или копии документов, подтверждающие внесение задатка.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Все документы и сведения, составляющие заявку на участие в аукционе, должны быть составлены на ру</w:t>
      </w:r>
      <w:r>
        <w:rPr>
          <w:szCs w:val="28"/>
        </w:rPr>
        <w:t>сском языке, представляются в форме электронных документов, подписанных электронной подписью заявителя.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Качество представленных электронных документов должно позволять в полном объеме прочитать текст документа и распознать его реквизиты.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Все документы и св</w:t>
      </w:r>
      <w:r>
        <w:rPr>
          <w:szCs w:val="28"/>
        </w:rPr>
        <w:t>едения, составляющие заявку на участие в аукционе, должны быть пригодны для восприятия, не содержать повреждений, исправлений, позволяющих неоднозначно истолковывать их содержание.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Заявитель несет ответственность за достоверность сведений и документов, сод</w:t>
      </w:r>
      <w:r>
        <w:rPr>
          <w:szCs w:val="28"/>
        </w:rPr>
        <w:t>ержащихся в заявке на участие в аукционе.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Заявитель подает только одну заявку на участие в аукционе в отношении одного лота.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Заявка на участие в аукционе направляется претендентом на участие в аукционе через личный кабинет посредством функционала ЭТП.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Заявитель вправе отозвать заявку </w:t>
      </w:r>
      <w:proofErr w:type="gramStart"/>
      <w:r>
        <w:rPr>
          <w:szCs w:val="28"/>
        </w:rPr>
        <w:t>на участие в аукционе в любое время до окончания срока подачи заявок на участие</w:t>
      </w:r>
      <w:proofErr w:type="gramEnd"/>
      <w:r>
        <w:rPr>
          <w:szCs w:val="28"/>
        </w:rPr>
        <w:t xml:space="preserve"> в аукционе, указанного в извещении о проведении аукциона и аукционной документации.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течении</w:t>
      </w:r>
      <w:proofErr w:type="gramEnd"/>
      <w:r>
        <w:rPr>
          <w:szCs w:val="28"/>
        </w:rPr>
        <w:t xml:space="preserve"> 5 (пяти) рабочих дней со дня поступления уведомле</w:t>
      </w:r>
      <w:r>
        <w:rPr>
          <w:szCs w:val="28"/>
        </w:rPr>
        <w:t>ния об отзыве заявки оператор ЭТП прекращает блокирование денежных средств по счету для проведения операций по обеспечению участия в аукционах участника в отношении денежных средств в размере задатка на участие в аукционе.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Изменение заявки допускается толь</w:t>
      </w:r>
      <w:r>
        <w:rPr>
          <w:szCs w:val="28"/>
        </w:rPr>
        <w:t>ко путем подачи заявителем новой заявки в установленные в извещении, документации об аукционе сроки подачи заявок, при этом первоначальная заявка должна быть отозвана.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Заявка на участие в аукционе отклоняется оператором ЭТП в случае если: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>- заявка не подпи</w:t>
      </w:r>
      <w:r>
        <w:rPr>
          <w:szCs w:val="28"/>
        </w:rPr>
        <w:t>сана электронной подписью или подписана электронной подписью лица, не имеющего соответствующих полномочий;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отсутствуют на счете заявителя, открытом для проведения операций по обеспечению участия в аукционах, денежные средства в размере задатка на участие</w:t>
      </w:r>
      <w:r>
        <w:rPr>
          <w:szCs w:val="28"/>
        </w:rPr>
        <w:t xml:space="preserve"> в аукционе, в отношении которых не осуществлено блокирование в соответствии с правилами проведения аукциона;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- подачи заявителем двух и более заявок на участие в аукционе в отношении одного и того же лота при условии, что поданные ранее заявки им не отозв</w:t>
      </w:r>
      <w:r>
        <w:rPr>
          <w:szCs w:val="28"/>
        </w:rPr>
        <w:t xml:space="preserve">аны. В </w:t>
      </w:r>
      <w:proofErr w:type="gramStart"/>
      <w:r>
        <w:rPr>
          <w:szCs w:val="28"/>
        </w:rPr>
        <w:t>этом</w:t>
      </w:r>
      <w:proofErr w:type="gramEnd"/>
      <w:r>
        <w:rPr>
          <w:szCs w:val="28"/>
        </w:rPr>
        <w:t xml:space="preserve"> случае заявителю возвращаются все заявки, поданные в отношении данного лота;</w:t>
      </w:r>
    </w:p>
    <w:p w:rsidR="009F235E" w:rsidRDefault="005C1202">
      <w:pPr>
        <w:pStyle w:val="af5"/>
        <w:ind w:firstLine="709"/>
        <w:jc w:val="both"/>
        <w:rPr>
          <w:szCs w:val="28"/>
        </w:rPr>
      </w:pPr>
      <w:r>
        <w:rPr>
          <w:szCs w:val="28"/>
        </w:rPr>
        <w:lastRenderedPageBreak/>
        <w:t>- заявка на участие в аукционе поступила после дня и времени окончания срока подачи заявок.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возврата заявки на участие в аукционе оператор ЭТП уведомляет в фо</w:t>
      </w:r>
      <w:r>
        <w:rPr>
          <w:szCs w:val="28"/>
        </w:rPr>
        <w:t>рме электронного документа заявителя, подавшего заявку на участие в аукционе, с указанием причин такого возврата.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течении</w:t>
      </w:r>
      <w:proofErr w:type="gramEnd"/>
      <w:r>
        <w:rPr>
          <w:szCs w:val="28"/>
        </w:rPr>
        <w:t xml:space="preserve"> 2 (двух) рабочих дней комиссия проверяет поданные заявки на участие в аукционе на предмет соответствия требованиям, установленным на</w:t>
      </w:r>
      <w:r>
        <w:rPr>
          <w:szCs w:val="28"/>
        </w:rPr>
        <w:t>стоящим Порядком, и принимает решение о допуске заявителей к аукциону. Заявители, соответствующие требованиям настоящего Порядка, допущенные комиссией к участию в аукционе, признаются участниками аукциона.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По итогам рассмотрения заявок комиссией составляет</w:t>
      </w:r>
      <w:r>
        <w:rPr>
          <w:szCs w:val="28"/>
        </w:rPr>
        <w:t>ся протокол о рассмотрении заявок.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Организатор аукциона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2 (двух) рабочих дней с момента получения протокола рассмотрения заявок размещает его на сайте ГКУ НСО ТУАД и направляет для размещения на ЭТП.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случае если по окончании срока подачи заявок</w:t>
      </w:r>
      <w:r>
        <w:rPr>
          <w:szCs w:val="28"/>
        </w:rPr>
        <w:t xml:space="preserve"> на участие в аукционе подана только одна заявка на участие в аукционе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если данная заявка на участие в аукционе соответствует требованиям, предусмотренным документацией об аукционе, аукцион признается несостоявшимся, участник признается единственным учас</w:t>
      </w:r>
      <w:r>
        <w:rPr>
          <w:szCs w:val="28"/>
        </w:rPr>
        <w:t>тником аукциона.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Договор на установку и эксплуатацию рекламной конструкции заключается с единственным участником аукциона на условиях, предусмотренных аукционной документацией.</w:t>
      </w:r>
    </w:p>
    <w:p w:rsidR="009F235E" w:rsidRDefault="005C1202">
      <w:pPr>
        <w:spacing w:after="0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(пяти) рабочих дней со дня размещения протокола о рассмотрении заяв</w:t>
      </w:r>
      <w:r>
        <w:rPr>
          <w:rFonts w:ascii="Times New Roman" w:hAnsi="Times New Roman" w:cs="Times New Roman"/>
          <w:sz w:val="28"/>
          <w:szCs w:val="28"/>
        </w:rPr>
        <w:t>ок на сайте ЭТП организатор аукциона подготавливает проект договора на установку и эксплуатацию рекламной конструкции и направляет его участнику аукциона на бумажном носителе.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случае если по окончании срока подачи заявок на участие в аукционе не подана н</w:t>
      </w:r>
      <w:r>
        <w:rPr>
          <w:szCs w:val="28"/>
        </w:rPr>
        <w:t xml:space="preserve">и одна заявка на участие в аукционе, аукцион признается </w:t>
      </w:r>
      <w:proofErr w:type="gramStart"/>
      <w:r>
        <w:rPr>
          <w:szCs w:val="28"/>
        </w:rPr>
        <w:t>несостоявшимся</w:t>
      </w:r>
      <w:proofErr w:type="gramEnd"/>
      <w:r>
        <w:rPr>
          <w:szCs w:val="28"/>
        </w:rPr>
        <w:t>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случае признания аукциона </w:t>
      </w:r>
      <w:proofErr w:type="gramStart"/>
      <w:r>
        <w:rPr>
          <w:szCs w:val="28"/>
        </w:rPr>
        <w:t>несостоявшимся</w:t>
      </w:r>
      <w:proofErr w:type="gramEnd"/>
      <w:r>
        <w:rPr>
          <w:szCs w:val="28"/>
        </w:rPr>
        <w:t>, если не подано ни одной заявки на участие в аукционе, организатор аукциона вправе повторно провести аукцион.</w:t>
      </w: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Проведение аукциона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Аукцион пр</w:t>
      </w:r>
      <w:r>
        <w:rPr>
          <w:szCs w:val="28"/>
        </w:rPr>
        <w:t xml:space="preserve">оводится на ЭТП в </w:t>
      </w:r>
      <w:proofErr w:type="gramStart"/>
      <w:r>
        <w:rPr>
          <w:szCs w:val="28"/>
        </w:rPr>
        <w:t>установленные</w:t>
      </w:r>
      <w:proofErr w:type="gramEnd"/>
      <w:r>
        <w:rPr>
          <w:szCs w:val="28"/>
        </w:rPr>
        <w:t xml:space="preserve"> в извещении о проведении аукциона время и дату.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аукционе</w:t>
      </w:r>
      <w:proofErr w:type="gramEnd"/>
      <w:r>
        <w:rPr>
          <w:szCs w:val="28"/>
        </w:rPr>
        <w:t xml:space="preserve"> могут участвовать только заявители, признанные участниками аукциона.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При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устанавливается время приема предложений, составляющее шестьдесят</w:t>
      </w:r>
      <w:r>
        <w:rPr>
          <w:szCs w:val="28"/>
        </w:rPr>
        <w:t xml:space="preserve"> минут от начала подачи предложения о цене за предмет аукциона до истечения срока подачи предложений, а также двадцать минут после поступления последнего </w:t>
      </w:r>
      <w:r>
        <w:rPr>
          <w:szCs w:val="28"/>
        </w:rPr>
        <w:lastRenderedPageBreak/>
        <w:t xml:space="preserve">предложения о цене за предмет аукциона. Время приема предложений обновляется автоматически при помощи </w:t>
      </w:r>
      <w:r>
        <w:rPr>
          <w:szCs w:val="28"/>
        </w:rPr>
        <w:t>программных  и технических средств оператора ЭТП.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Если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указанного срока ни одного предложения не поступило, аукцион автоматически завершается при помощи технических средств оператора ЭТП.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Аукцион проводится путем повышения начальной цены предмета</w:t>
      </w:r>
      <w:r>
        <w:rPr>
          <w:szCs w:val="28"/>
        </w:rPr>
        <w:t xml:space="preserve"> аукциона, указанной в извещении о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При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участники аукциона подают предложения о цене предмета аукциона, предусматривающие повышение текущего предложения о цене предмета аукциона на величину в пределах шага аукциона.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ходе проведения аукциона на ЭТП в обязательном порядке должны быть указаны все предложения о цене предмета аукциона и время их поступления, а также оставшееся время ожидания ценового предложения в ходе аукциона.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Предложения о цене  предмета аукциона откл</w:t>
      </w:r>
      <w:r>
        <w:rPr>
          <w:szCs w:val="28"/>
        </w:rPr>
        <w:t>оняются оператором ЭТП исключительно по основаниям, установленным регламентом его деятельности.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если была предложена цена предмета аукциона, равная цене, предложенной другим участником аукциона, лучшим признается предложение о цене предмета аукцио</w:t>
      </w:r>
      <w:r>
        <w:rPr>
          <w:szCs w:val="28"/>
        </w:rPr>
        <w:t>на, поступившее ранее других предложений.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если в течение установленного в извещении о проведении аукциона времени ожидания ценового предложения после начала проведения аукциона в соответствии с п.6.3. Порядка, аукцион признается несостоявшимся.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По</w:t>
      </w:r>
      <w:r>
        <w:rPr>
          <w:szCs w:val="28"/>
        </w:rPr>
        <w:t>сле истечения установленного в извещении о проведен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времени ожидания ценового предложения оператором электронной торговой площадки фиксируются результаты проведения аукциона.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На основании данных, зафиксированных оператором ЭТП, комиссией по пров</w:t>
      </w:r>
      <w:r>
        <w:rPr>
          <w:szCs w:val="28"/>
        </w:rPr>
        <w:t>едению аукциона оформляется протокол о результатах аукциона.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proofErr w:type="gramStart"/>
      <w:r>
        <w:rPr>
          <w:szCs w:val="28"/>
        </w:rPr>
        <w:t>В протоколе проведения аукциона указываются: адрес ЭТП, дата, время начала и окончания аукциона, сведения о начальной цене предмета торгов, сведения об участниках аукциона, максимальные предложен</w:t>
      </w:r>
      <w:r>
        <w:rPr>
          <w:szCs w:val="28"/>
        </w:rPr>
        <w:t>ия о цене предмета аукциона, сделанные участниками такого аукциона, которые при ранжировании по мере возрастания получили первые десять порядковых номеров, или в случае если в таком аукционе принимали участие менее чем десять его участников, с указанием</w:t>
      </w:r>
      <w:proofErr w:type="gramEnd"/>
      <w:r>
        <w:rPr>
          <w:szCs w:val="28"/>
        </w:rPr>
        <w:t xml:space="preserve"> по</w:t>
      </w:r>
      <w:r>
        <w:rPr>
          <w:szCs w:val="28"/>
        </w:rPr>
        <w:t>рядковых номеров, присвоенных заявкам на участие в аукционе, поданным его участниками, сделавшими соответствующие предложения о цене предмета аукциона, и с указанием времени поступления данных предложений.</w:t>
      </w:r>
    </w:p>
    <w:p w:rsidR="009F235E" w:rsidRDefault="005C1202">
      <w:pPr>
        <w:pStyle w:val="af5"/>
        <w:ind w:firstLine="567"/>
        <w:jc w:val="both"/>
        <w:rPr>
          <w:color w:val="212529"/>
          <w:szCs w:val="28"/>
        </w:rPr>
      </w:pPr>
      <w:r>
        <w:rPr>
          <w:color w:val="212529"/>
          <w:szCs w:val="28"/>
        </w:rPr>
        <w:lastRenderedPageBreak/>
        <w:t>Не позднее следующего дня после направления операт</w:t>
      </w:r>
      <w:r>
        <w:rPr>
          <w:color w:val="212529"/>
          <w:szCs w:val="28"/>
        </w:rPr>
        <w:t xml:space="preserve">ором электронной площадки электронного журнала организатор аукциона </w:t>
      </w:r>
      <w:proofErr w:type="gramStart"/>
      <w:r>
        <w:rPr>
          <w:color w:val="212529"/>
          <w:szCs w:val="28"/>
        </w:rPr>
        <w:t>оформляет и подписывает</w:t>
      </w:r>
      <w:proofErr w:type="gramEnd"/>
      <w:r>
        <w:rPr>
          <w:color w:val="212529"/>
          <w:szCs w:val="28"/>
        </w:rPr>
        <w:t xml:space="preserve"> протокол подведения итогов аукциона, в котором указываются: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дата и время проведения аукциона;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-полные наименования (для юридических лиц), фамилии, имена, отчества</w:t>
      </w:r>
      <w:r>
        <w:rPr>
          <w:color w:val="212529"/>
          <w:sz w:val="28"/>
          <w:szCs w:val="28"/>
        </w:rPr>
        <w:t xml:space="preserve"> (при наличии) (для физических лиц) участников аукциона;</w:t>
      </w:r>
      <w:proofErr w:type="gramEnd"/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-начальная (минимальная) цена договора (цена лота), последнее и предпоследнее предложения о цене договора;</w:t>
      </w:r>
    </w:p>
    <w:p w:rsidR="009F235E" w:rsidRDefault="005C1202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полные наименования (для юридического лица), фамилии, имена, отчества (при наличии) (для ф</w:t>
      </w:r>
      <w:r>
        <w:rPr>
          <w:color w:val="212529"/>
          <w:sz w:val="28"/>
          <w:szCs w:val="28"/>
        </w:rPr>
        <w:t>изических лиц) победителя аукциона и участника аукциона, который сделал предпоследнее предложение о цене договора.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После размещения на ЭТП протокола подведения итогов аукциона направление участникам аукциона уведомления о принятом решении осуществляется оп</w:t>
      </w:r>
      <w:r>
        <w:rPr>
          <w:szCs w:val="28"/>
        </w:rPr>
        <w:t>ератором ЭТП в соответствии с регламентом его деятельности.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Участник аукциона, который предложил наиболее высокую цену за право заключения договора, признается победителем такого аукциона.</w:t>
      </w:r>
    </w:p>
    <w:p w:rsidR="009F235E" w:rsidRDefault="009F235E">
      <w:pPr>
        <w:pStyle w:val="af5"/>
        <w:ind w:left="567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Заключение договора</w:t>
      </w:r>
    </w:p>
    <w:p w:rsidR="009F235E" w:rsidRDefault="009F235E">
      <w:pPr>
        <w:pStyle w:val="af5"/>
        <w:ind w:left="394" w:firstLine="0"/>
        <w:jc w:val="left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По результатам аукциона с победителем аукциона, а в случаях, предусмотренным настоящим Порядком, с иным участником аукциона заключается договор на установку и эксплуатацию рекламной конструкции.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Победитель аукциона либо участник аукциона, с которым заключа</w:t>
      </w:r>
      <w:r>
        <w:rPr>
          <w:szCs w:val="28"/>
        </w:rPr>
        <w:t xml:space="preserve">ется договор, в случаях, установленных настоящим Порядком, </w:t>
      </w:r>
      <w:r>
        <w:rPr>
          <w:szCs w:val="28"/>
          <w:shd w:val="clear" w:color="auto" w:fill="FFFFFF"/>
        </w:rPr>
        <w:t xml:space="preserve">в 10 </w:t>
      </w:r>
      <w:proofErr w:type="spellStart"/>
      <w:r>
        <w:rPr>
          <w:szCs w:val="28"/>
          <w:shd w:val="clear" w:color="auto" w:fill="FFFFFF"/>
        </w:rPr>
        <w:t>дневный</w:t>
      </w:r>
      <w:proofErr w:type="spellEnd"/>
      <w:r>
        <w:rPr>
          <w:szCs w:val="28"/>
          <w:shd w:val="clear" w:color="auto" w:fill="FFFFFF"/>
        </w:rPr>
        <w:t xml:space="preserve"> срок </w:t>
      </w:r>
      <w:proofErr w:type="gramStart"/>
      <w:r>
        <w:rPr>
          <w:szCs w:val="28"/>
          <w:shd w:val="clear" w:color="auto" w:fill="FFFFFF"/>
        </w:rPr>
        <w:t>с даты заключения</w:t>
      </w:r>
      <w:proofErr w:type="gramEnd"/>
      <w:r>
        <w:rPr>
          <w:szCs w:val="28"/>
          <w:shd w:val="clear" w:color="auto" w:fill="FFFFFF"/>
        </w:rPr>
        <w:t xml:space="preserve"> Договора вносит плату за первый год размещения и эксплуатации  рекламной конструкции в размере разницы между ценой права, предложенной победителем аукциона, и ра</w:t>
      </w:r>
      <w:r>
        <w:rPr>
          <w:szCs w:val="28"/>
          <w:shd w:val="clear" w:color="auto" w:fill="FFFFFF"/>
        </w:rPr>
        <w:t xml:space="preserve">змером задатка. Последующие платежи </w:t>
      </w:r>
      <w:r>
        <w:rPr>
          <w:szCs w:val="28"/>
        </w:rPr>
        <w:t>вносятся ежеквартально равными частями не позднее первого числа месяца, следующего за расчетным периодом.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Договор на установку и эксплуатацию рекламной конструкции заключается на условиях, указанных в извещении о проведе</w:t>
      </w:r>
      <w:r>
        <w:rPr>
          <w:szCs w:val="28"/>
        </w:rPr>
        <w:t>н</w:t>
      </w:r>
      <w:proofErr w:type="gramStart"/>
      <w:r>
        <w:rPr>
          <w:szCs w:val="28"/>
        </w:rPr>
        <w:t>ии ау</w:t>
      </w:r>
      <w:proofErr w:type="gramEnd"/>
      <w:r>
        <w:rPr>
          <w:szCs w:val="28"/>
        </w:rPr>
        <w:t>кциона и документации об аукционе.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После подписания участниками аукциона договора в двух экземплярах и его передачи Учреждением подписывается  уполномоченным должностным лицом Учреждения.</w:t>
      </w:r>
    </w:p>
    <w:p w:rsidR="009F235E" w:rsidRDefault="005C1202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>Подписанный и заверенный печатями договор выдается либо направ</w:t>
      </w:r>
      <w:r>
        <w:rPr>
          <w:szCs w:val="28"/>
        </w:rPr>
        <w:t>ляется посредством почтовой связи участнику аукциона.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Договор должен быть заключен не позднее 15 (пятнадцати) рабочих дней после размещения на ЭТП протокола о результатах аукциона.</w:t>
      </w:r>
    </w:p>
    <w:p w:rsidR="009F235E" w:rsidRDefault="009F235E">
      <w:pPr>
        <w:pStyle w:val="af5"/>
        <w:ind w:left="754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Признание участника аукциона </w:t>
      </w:r>
      <w:proofErr w:type="gramStart"/>
      <w:r>
        <w:rPr>
          <w:szCs w:val="28"/>
        </w:rPr>
        <w:t>уклонившимся</w:t>
      </w:r>
      <w:proofErr w:type="gramEnd"/>
      <w:r>
        <w:rPr>
          <w:szCs w:val="28"/>
        </w:rPr>
        <w:t xml:space="preserve"> от заключения договора</w:t>
      </w:r>
    </w:p>
    <w:p w:rsidR="009F235E" w:rsidRDefault="009F235E">
      <w:pPr>
        <w:pStyle w:val="af5"/>
        <w:ind w:left="394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Признани</w:t>
      </w:r>
      <w:r>
        <w:rPr>
          <w:szCs w:val="28"/>
        </w:rPr>
        <w:t>е победителя аукциона либо участника аукциона, с которым заключается договор, уклонившимся от заключения договора, оформляется комиссией протоколом.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случае уклонения участника аукциона от заключения договора на установку и эксплуатацию рекламной конструк</w:t>
      </w:r>
      <w:r>
        <w:rPr>
          <w:szCs w:val="28"/>
        </w:rPr>
        <w:t>ции организатор аукциона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1 (одного) рабочего дня уведомляет оператора ЭТП о таком уклонении, оператор ЭТП прекращает блокирование денежных средств по счету для проведения операций по обеспечению участия в аукционе такого участника аукциона в отно</w:t>
      </w:r>
      <w:r>
        <w:rPr>
          <w:szCs w:val="28"/>
        </w:rPr>
        <w:t xml:space="preserve">шении денежных средств, заблокированных для обеспечения заявки на участие в этом аукционе, перечисляет денежные средства на лицевой счет организатора аукциона для последующего зачисления в </w:t>
      </w:r>
      <w:r>
        <w:t>доход областного бюджета Новосибирской области.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если побед</w:t>
      </w:r>
      <w:r>
        <w:rPr>
          <w:szCs w:val="28"/>
        </w:rPr>
        <w:t>итель аукциона признан уклонившимся от заключения договора на установку и эксплуатацию рекламной конструкции, договор на установку и эксплуатацию рекламной конструкции заключается с участником аукциона, сделавшим предпоследнее предложение о цене.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В случае </w:t>
      </w:r>
      <w:r>
        <w:rPr>
          <w:szCs w:val="28"/>
        </w:rPr>
        <w:t xml:space="preserve">если победитель аукциона или участник аукциона, подавший следующее за победителем ценовое предложение, признаны уклонившимися от заключения договора на установку и эксплуатацию рекламной конструкции заключается с участником аукциона, заявке на </w:t>
      </w:r>
      <w:proofErr w:type="gramStart"/>
      <w:r>
        <w:rPr>
          <w:szCs w:val="28"/>
        </w:rPr>
        <w:t>участие</w:t>
      </w:r>
      <w:proofErr w:type="gramEnd"/>
      <w:r>
        <w:rPr>
          <w:szCs w:val="28"/>
        </w:rPr>
        <w:t xml:space="preserve"> в ау</w:t>
      </w:r>
      <w:r>
        <w:rPr>
          <w:szCs w:val="28"/>
        </w:rPr>
        <w:t xml:space="preserve">кционе которого присвоен следующий порядковый номер в порядке возрастания порядковых номеров, на условиях, предусмотренных документацией об аукционе. В случае отказа участника аукциона, заявке на </w:t>
      </w:r>
      <w:proofErr w:type="gramStart"/>
      <w:r>
        <w:rPr>
          <w:szCs w:val="28"/>
        </w:rPr>
        <w:t>участие</w:t>
      </w:r>
      <w:proofErr w:type="gramEnd"/>
      <w:r>
        <w:rPr>
          <w:szCs w:val="28"/>
        </w:rPr>
        <w:t xml:space="preserve"> в аукционе которого присвоен следующий порядковый но</w:t>
      </w:r>
      <w:r>
        <w:rPr>
          <w:szCs w:val="28"/>
        </w:rPr>
        <w:t>мер, от заключения договора на установку и эксплуатацию рекламной конструкции комиссия принимает решение о признании аукциона несостоявшимся.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течение 1 (одного) рабочего дня со дня заключения договора на установку и эксплуатацию рекламной конструкции орг</w:t>
      </w:r>
      <w:r>
        <w:rPr>
          <w:szCs w:val="28"/>
        </w:rPr>
        <w:t>анизатор аукциона размещает заключенный договор на установку и эксплуатацию рекламной конструкции на сайте ЭТП.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 течение 1 (одного) рабочего дня с момента размещения заключенного договора на установку и эксплуатацию рекламной конструкции на сайте ЭТП опер</w:t>
      </w:r>
      <w:r>
        <w:rPr>
          <w:szCs w:val="28"/>
        </w:rPr>
        <w:t>атор ЭТП прекращает блокирование денежных средств по счету для проведения операций по обеспечению участия в аукционах участников аукциона в отношении денежных средств, заблокированных для обеспечения участия в таком аукционе.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Денежные средства, заблокирова</w:t>
      </w:r>
      <w:r>
        <w:rPr>
          <w:szCs w:val="28"/>
        </w:rPr>
        <w:t>нные для обеспечения заявки на участие в аукционе (задаток), подлежит возврату участникам аукциона, за исключением участников аукциона, признанных уклонившимся от заключения договора на установку и эксплуатацию рекламной конструкции, в порядке, установленн</w:t>
      </w:r>
      <w:r>
        <w:rPr>
          <w:szCs w:val="28"/>
        </w:rPr>
        <w:t>ом п.8.2-8.4 настоящего раздела.</w:t>
      </w:r>
    </w:p>
    <w:p w:rsidR="009F235E" w:rsidRDefault="005C1202">
      <w:pPr>
        <w:pStyle w:val="af5"/>
        <w:ind w:firstLine="754"/>
        <w:jc w:val="both"/>
        <w:rPr>
          <w:szCs w:val="28"/>
        </w:rPr>
      </w:pPr>
      <w:r>
        <w:rPr>
          <w:szCs w:val="28"/>
        </w:rPr>
        <w:t>Денежные средства, заблокированные для обеспечения заявки на участие в аукционе (задаток), не подлежащие возврату участникам аукциона, признанным уклонившимися от заключения договора на установку и эксплуатацию рекламной ко</w:t>
      </w:r>
      <w:r>
        <w:rPr>
          <w:szCs w:val="28"/>
        </w:rPr>
        <w:t xml:space="preserve">нструкции, поступают на лицевой счет </w:t>
      </w:r>
      <w:r>
        <w:rPr>
          <w:szCs w:val="28"/>
        </w:rPr>
        <w:lastRenderedPageBreak/>
        <w:t xml:space="preserve">организатора аукциона для последующего зачисления в </w:t>
      </w:r>
      <w:r>
        <w:t>доход областного бюджета Новосибирской области</w:t>
      </w:r>
      <w:r>
        <w:rPr>
          <w:szCs w:val="28"/>
        </w:rPr>
        <w:t>.</w:t>
      </w:r>
    </w:p>
    <w:p w:rsidR="009F235E" w:rsidRDefault="009F235E">
      <w:pPr>
        <w:pStyle w:val="af5"/>
        <w:ind w:left="754" w:firstLine="0"/>
        <w:jc w:val="both"/>
        <w:rPr>
          <w:szCs w:val="28"/>
        </w:rPr>
      </w:pPr>
    </w:p>
    <w:p w:rsidR="009F235E" w:rsidRDefault="005C1202">
      <w:pPr>
        <w:pStyle w:val="af5"/>
        <w:numPr>
          <w:ilvl w:val="0"/>
          <w:numId w:val="2"/>
        </w:numPr>
        <w:rPr>
          <w:szCs w:val="28"/>
        </w:rPr>
      </w:pPr>
      <w:r>
        <w:rPr>
          <w:szCs w:val="28"/>
        </w:rPr>
        <w:t>Разрешение споров</w:t>
      </w:r>
    </w:p>
    <w:p w:rsidR="009F235E" w:rsidRDefault="009F235E">
      <w:pPr>
        <w:pStyle w:val="af5"/>
        <w:rPr>
          <w:szCs w:val="28"/>
        </w:rPr>
      </w:pP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Все вопросы, не урегулированные настоящим Порядком, подлежат разрешению в соответствии с действующим законодательством Российской Федерации.</w:t>
      </w:r>
    </w:p>
    <w:p w:rsidR="009F235E" w:rsidRDefault="005C1202">
      <w:pPr>
        <w:pStyle w:val="af5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Заявитель, участник аукциона, не согласные с решением или действиями комиссии, организатора аукциона или оператора </w:t>
      </w:r>
      <w:r>
        <w:rPr>
          <w:szCs w:val="28"/>
        </w:rPr>
        <w:t>ЭТП, вправе обжаловать их в судебном порядке.</w:t>
      </w:r>
    </w:p>
    <w:p w:rsidR="009F235E" w:rsidRDefault="009F235E">
      <w:pPr>
        <w:pStyle w:val="af5"/>
        <w:ind w:left="394" w:firstLine="0"/>
        <w:jc w:val="both"/>
        <w:rPr>
          <w:szCs w:val="28"/>
        </w:rPr>
      </w:pPr>
    </w:p>
    <w:tbl>
      <w:tblPr>
        <w:tblStyle w:val="afa"/>
        <w:tblW w:w="9746" w:type="dxa"/>
        <w:tblLayout w:type="fixed"/>
        <w:tblLook w:val="04A0" w:firstRow="1" w:lastRow="0" w:firstColumn="1" w:lastColumn="0" w:noHBand="0" w:noVBand="1"/>
      </w:tblPr>
      <w:tblGrid>
        <w:gridCol w:w="4961"/>
        <w:gridCol w:w="4785"/>
      </w:tblGrid>
      <w:tr w:rsidR="009F235E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9F2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5E" w:rsidRDefault="005C12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9F235E" w:rsidRDefault="005C12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организации и проведения открытого аукциона в электронной форме на право заключения договора на установку и эксплуатацию рекламной конструкции</w:t>
            </w:r>
          </w:p>
          <w:p w:rsidR="009F235E" w:rsidRDefault="005C1202" w:rsidP="00793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ind w:right="-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93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187" w:rsidRPr="007931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 сентября 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93187" w:rsidRPr="007931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330</w:t>
            </w:r>
          </w:p>
        </w:tc>
      </w:tr>
    </w:tbl>
    <w:p w:rsidR="009F235E" w:rsidRDefault="009F23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35E" w:rsidRDefault="005C12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</w:t>
      </w:r>
    </w:p>
    <w:p w:rsidR="009F235E" w:rsidRDefault="005C12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undefined"/>
      <w:r>
        <w:rPr>
          <w:rFonts w:ascii="Times New Roman" w:hAnsi="Times New Roman" w:cs="Times New Roman"/>
          <w:bCs/>
          <w:sz w:val="28"/>
          <w:szCs w:val="28"/>
        </w:rPr>
        <w:t>на установку и эксплуатацию рекламных конструкций</w:t>
      </w:r>
      <w:bookmarkEnd w:id="0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03"/>
        <w:gridCol w:w="5210"/>
      </w:tblGrid>
      <w:tr w:rsidR="009F235E">
        <w:tc>
          <w:tcPr>
            <w:tcW w:w="4703" w:type="dxa"/>
          </w:tcPr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5210" w:type="dxa"/>
          </w:tcPr>
          <w:p w:rsidR="009F235E" w:rsidRDefault="005C1202">
            <w:pPr>
              <w:ind w:right="-17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«____»_____________20___г.</w:t>
            </w:r>
          </w:p>
        </w:tc>
      </w:tr>
    </w:tbl>
    <w:p w:rsidR="009F235E" w:rsidRDefault="005C12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«Территориальное управ</w:t>
      </w:r>
      <w:r>
        <w:rPr>
          <w:rFonts w:ascii="Times New Roman" w:hAnsi="Times New Roman" w:cs="Times New Roman"/>
          <w:sz w:val="28"/>
          <w:szCs w:val="28"/>
        </w:rPr>
        <w:t>ление автомобильных дорог Новосибирской области», в лице _____________________________________________________, действующего на основании ________________ именуемое в дальнейшем «Учреждение», с одной стороны и ____________________, именуемый в дальнейшем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лице _____________________, действующего на основании __________________, с другой стороны, совместно именуемые «Стороны»,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на основании протокола аукционной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открытого аукциона в электронной форме на право</w:t>
      </w:r>
      <w:r>
        <w:rPr>
          <w:rFonts w:ascii="Times New Roman" w:hAnsi="Times New Roman" w:cs="Times New Roman"/>
          <w:sz w:val="28"/>
          <w:szCs w:val="28"/>
        </w:rPr>
        <w:t xml:space="preserve"> заключения договора на установку и эксплуатацию рекламной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 заключили настоящий договор о нижеследующем.</w:t>
      </w:r>
    </w:p>
    <w:p w:rsidR="009F235E" w:rsidRDefault="005C12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ПРЕДМЕТ ДОГОВОРА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13.03.2006 № 38-ФЗ «О рекл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аме» предоставляет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плату право установить рекламную конструкцию (далее – Конструкция) на территории Новосибирского района Новосибирской области и осуществлять её эксплуатацию и техническое обслуживание.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Рекламораспространите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обратиться в Администрацию Новосибирского района Новосибирской области за получением разрешения на установку и эксплуатацию рекламной конструкции.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Место установки Конструкции (далее – Рекламное место) согласно схеме размещения рекламных конс</w:t>
      </w:r>
      <w:r>
        <w:rPr>
          <w:rFonts w:ascii="Times New Roman" w:eastAsia="Times New Roman" w:hAnsi="Times New Roman" w:cs="Times New Roman"/>
          <w:sz w:val="28"/>
          <w:szCs w:val="28"/>
        </w:rPr>
        <w:t>трукций Новосибирского района Новосибирской области (далее - Схема) находится по адресу: ______________________________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в Схеме_____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  <w:rFonts w:ascii="Times New Roman" w:eastAsia="Times New Roman" w:hAnsi="Times New Roman" w:cs="Times New Roman"/>
          <w:sz w:val="28"/>
          <w:szCs w:val="28"/>
        </w:rPr>
        <w:t>Тип, вид рекламной конструкции: ____________________________________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24"/>
          <w:rFonts w:ascii="Times New Roman" w:eastAsia="Times New Roman" w:hAnsi="Times New Roman" w:cs="Times New Roman"/>
          <w:sz w:val="28"/>
          <w:szCs w:val="28"/>
        </w:rPr>
        <w:lastRenderedPageBreak/>
        <w:t>Площадь рекламного поля: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размеры рекламного поля 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ысота,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 ширина, м) ________; 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сторон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– __; </w:t>
      </w:r>
      <w:proofErr w:type="gramEnd"/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информационных полей – ____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____________________.</w:t>
      </w:r>
    </w:p>
    <w:p w:rsidR="009F235E" w:rsidRDefault="009F235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pStyle w:val="af9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ПРАВА И ОБЯЗАННОСТИ СТОРОН</w:t>
      </w:r>
    </w:p>
    <w:p w:rsidR="009F235E" w:rsidRDefault="009F235E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pStyle w:val="af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Учреждение имеет право: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В любое время производить проверку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требований к размещению рекламных конструкций.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При нарушении условий Договора и требований ФЗ «О рекламе»              от 13.03.2006 № 38-ФЗ принять решение об аннулировании разрешения на установку и эксплуатацию рекламной к</w:t>
      </w:r>
      <w:r>
        <w:rPr>
          <w:rFonts w:ascii="Times New Roman" w:hAnsi="Times New Roman" w:cs="Times New Roman"/>
          <w:sz w:val="28"/>
          <w:szCs w:val="28"/>
        </w:rPr>
        <w:t xml:space="preserve">онструкции и потребовать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демонтажа рекламной конструкции. 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Вносить изменения и дополнения в Договор в одностороннем порядке в случае внесения таковых в действующее законодательство РФ и нормативные акты, изданные органами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путем одностороннего уведомления в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Удалить информацию, размещенную на рекламной конструкции,                 и демонтировать рекламную конструкцию в случае нарушения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hAnsi="Times New Roman" w:cs="Times New Roman"/>
          <w:sz w:val="28"/>
          <w:szCs w:val="28"/>
        </w:rPr>
        <w:t xml:space="preserve">оков, указанных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3.2.6. Договора самостоятельно или с привлечением сторонних организаций, взыскав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стоимость работ по демонтажу, транспортировке, хранению и в необходимых случаях по уничтожению рекламной конструкции и информа</w:t>
      </w:r>
      <w:r>
        <w:rPr>
          <w:rFonts w:ascii="Times New Roman" w:hAnsi="Times New Roman" w:cs="Times New Roman"/>
          <w:sz w:val="28"/>
          <w:szCs w:val="28"/>
        </w:rPr>
        <w:t xml:space="preserve">ции, размещенной на такой рекламной конструкции, а также восстановлением в первоначальное состояние места размещения рекламной конструкции. Учреждение не несет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ответственность за убытки, возникшие у него вследствие такого уд</w:t>
      </w:r>
      <w:r>
        <w:rPr>
          <w:rFonts w:ascii="Times New Roman" w:hAnsi="Times New Roman" w:cs="Times New Roman"/>
          <w:sz w:val="28"/>
          <w:szCs w:val="28"/>
        </w:rPr>
        <w:t xml:space="preserve">аления и демонтажа. 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Использовать рекламную конструкцию в соответствии с целями                и условиями ее предназначения. 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Досрочно расторгнуть Договор, письменно уведомив Управление за один меся</w:t>
      </w:r>
      <w:r>
        <w:rPr>
          <w:rFonts w:ascii="Times New Roman" w:hAnsi="Times New Roman" w:cs="Times New Roman"/>
          <w:sz w:val="28"/>
          <w:szCs w:val="28"/>
        </w:rPr>
        <w:t>ц до расторжения Договора.</w:t>
      </w:r>
    </w:p>
    <w:p w:rsidR="009F235E" w:rsidRDefault="009F235E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ОБЯЗАТЕЛЬСТВА СТОРОН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Учреждение обязуется: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согласование размещения рекламной конструкции (Приложение №1 Договора).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Не вмешиваться в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она не противоречит действующему законодательству о рекламе и условиям настоящего договора.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Устанавливать и эксплуатировать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рекламную конструкцию только при наличии разрешения органа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муниципального района (Администрация Новосибирского района Новосибирской области), в соответствии с согласованной схемой размещения рекламной конструкции и Федеральным законом от 13.03.2006 № 38-ФЗ «О рекламе».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Использовать рекламную конструкцию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по прямому назначению в соответствии с Договором.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Своевременно и полностью вносить плату за предоставленное право на установку и эксплуатацию рекламной конструкции, установленную Договором.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В течение всего срока установки и экс</w:t>
      </w:r>
      <w:r>
        <w:rPr>
          <w:rFonts w:ascii="Times New Roman" w:hAnsi="Times New Roman" w:cs="Times New Roman"/>
          <w:sz w:val="28"/>
          <w:szCs w:val="28"/>
        </w:rPr>
        <w:t>плуатации содержать  рекламную конструкцию в надлежащем техническом состоянии и внешнем виде.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Надлежащим техническим состоянием является соответствие проекту, исправное состояние всех деталей, механизмов, систем крепежа, приборов освещения, соответствие де</w:t>
      </w:r>
      <w:r>
        <w:rPr>
          <w:rFonts w:ascii="Times New Roman" w:hAnsi="Times New Roman" w:cs="Times New Roman"/>
          <w:sz w:val="28"/>
          <w:szCs w:val="28"/>
        </w:rPr>
        <w:t>йствующим техническим регламентам и требованиям безопасности, отсутствие видимых деформаций и отклонений элементов конструкции от проектного положения.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Надлежащим внешним видом является отсутствие видимых повреждений (отслоения, ржавчина, царапины) лакокра</w:t>
      </w:r>
      <w:r>
        <w:rPr>
          <w:rFonts w:ascii="Times New Roman" w:hAnsi="Times New Roman" w:cs="Times New Roman"/>
          <w:sz w:val="28"/>
          <w:szCs w:val="28"/>
        </w:rPr>
        <w:t>сочной поверхности конструкции и ее информационной части (отслоения рекламного изображения, повреждение, выцветание, старение материалов с рекламным изображением), а также наличие рекламы, социальной рекламы, размещенной на рекламной конструкции.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Пр</w:t>
      </w:r>
      <w:r>
        <w:rPr>
          <w:rFonts w:ascii="Times New Roman" w:hAnsi="Times New Roman" w:cs="Times New Roman"/>
          <w:sz w:val="28"/>
          <w:szCs w:val="28"/>
        </w:rPr>
        <w:t>и ненадлежащем состоянии за свой счет привести ее в надлежащее состояние в течение 5 (пяти) дней с момента обнаружения одной из Сторон.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Удалить информацию, размещенную на рекламной конструкции, в течение трех дней, демонтировать рекламную конструкци</w:t>
      </w:r>
      <w:r>
        <w:rPr>
          <w:rFonts w:ascii="Times New Roman" w:hAnsi="Times New Roman" w:cs="Times New Roman"/>
          <w:sz w:val="28"/>
          <w:szCs w:val="28"/>
        </w:rPr>
        <w:t>ю и привести земельный участок, здание или иное недвижимое имущество, к которому присоединена рекламная конструкция, в первоначальное состояние за свой счет в течение месяца: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аннулировании разрешения;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признании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ончании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 действия настоящего договора;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одностороннем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исполнения договора.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Акт о произведенном демонтаже рекламной конструкции с приложением фотоотчета в Учреждение в течение 3 (трех)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перво</w:t>
      </w:r>
      <w:r>
        <w:rPr>
          <w:rFonts w:ascii="Times New Roman" w:hAnsi="Times New Roman" w:cs="Times New Roman"/>
          <w:sz w:val="28"/>
          <w:szCs w:val="28"/>
        </w:rPr>
        <w:t>му требованию Учреждения возместить в полном объеме  расходы, понесенные Учреждением в связи с демонтажем, транспортировкой, хранением, а в необходимых случаях уничтожением рекламной конструкции и информации, размещенной на такой рекламной конструкции, а т</w:t>
      </w:r>
      <w:r>
        <w:rPr>
          <w:rFonts w:ascii="Times New Roman" w:hAnsi="Times New Roman" w:cs="Times New Roman"/>
          <w:sz w:val="28"/>
          <w:szCs w:val="28"/>
        </w:rPr>
        <w:t xml:space="preserve">акже восстановлением в первоначальное состояние места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рекламной конструкции, в случае нарушения Рекламодателем сроков, указанных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3.2.6 Договора.</w:t>
      </w:r>
      <w:proofErr w:type="gramEnd"/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Сообщить Учреждению в письменной форме не позднее, чем за один месяц о предстоящем расторжении Договора и демонтаже рекламной конструкции.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При размещении и эксплуатации рекламной конструкции соблюдать требования и ограничения, установленные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законодательством,  нести ответственность за несоблюдение этих требований и ограничений.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 Уведомить орган местного самоуправления муниципального района (Администрацию Новосибирского района Новосибирской области), а также Учреждение о фак</w:t>
      </w:r>
      <w:r>
        <w:rPr>
          <w:rFonts w:ascii="Times New Roman" w:hAnsi="Times New Roman" w:cs="Times New Roman"/>
          <w:sz w:val="28"/>
          <w:szCs w:val="28"/>
        </w:rPr>
        <w:t>тах  возникновения у третьих лиц прав в отношении рекламной конструкции.</w:t>
      </w:r>
    </w:p>
    <w:p w:rsidR="009F235E" w:rsidRDefault="005C1202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 Разместить на рекламной конструкции маркировку с указанием своего наименования, номера телефона. Маркировка должна быть размещена под информационным полем. Размер текста долже</w:t>
      </w:r>
      <w:r>
        <w:rPr>
          <w:rFonts w:ascii="Times New Roman" w:hAnsi="Times New Roman" w:cs="Times New Roman"/>
          <w:sz w:val="28"/>
          <w:szCs w:val="28"/>
        </w:rPr>
        <w:t>н позволять его прочтение с ближайшей полосы движения транспортных средств.</w:t>
      </w:r>
    </w:p>
    <w:p w:rsidR="009F235E" w:rsidRDefault="009F235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ПЛАТЕЖИ И РАСЧЕТЫ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  Плата за размещение рекламной конструкции устанавливается на основании результатов аукциона в соответствии с протоколом ___________________ от «__» ____</w:t>
      </w:r>
      <w:r>
        <w:rPr>
          <w:rFonts w:ascii="Times New Roman" w:eastAsia="Times New Roman" w:hAnsi="Times New Roman" w:cs="Times New Roman"/>
          <w:sz w:val="28"/>
          <w:szCs w:val="28"/>
        </w:rPr>
        <w:t>_____ 20__ г. и составляет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 (_____________________)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рублей ___ копеек в год.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</w:rPr>
        <w:t>Задаток, внесенный ранее,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составляет _____________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засчитывается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платы по Договору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F235E" w:rsidRDefault="005C12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10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вносит плату за первый год размещения и эксплуатации  рекламной конструкции в размере разницы между ценой права, предложенной победителем аукциона, и размером задатка. Последующие платежи </w:t>
      </w:r>
      <w:r>
        <w:rPr>
          <w:rFonts w:ascii="Times New Roman" w:hAnsi="Times New Roman" w:cs="Times New Roman"/>
          <w:sz w:val="28"/>
          <w:szCs w:val="28"/>
        </w:rPr>
        <w:t xml:space="preserve">вносятся ежеквартально равными частями не позднее первого </w:t>
      </w:r>
      <w:r>
        <w:rPr>
          <w:rFonts w:ascii="Times New Roman" w:hAnsi="Times New Roman" w:cs="Times New Roman"/>
          <w:sz w:val="28"/>
          <w:szCs w:val="28"/>
        </w:rPr>
        <w:t>числа месяца, следующего за расчетным периодом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путем перечисления по следующим реквизитам: </w:t>
      </w:r>
      <w:r>
        <w:rPr>
          <w:rFonts w:ascii="Times New Roman" w:hAnsi="Times New Roman" w:cs="Times New Roman"/>
          <w:b/>
          <w:bCs/>
          <w:sz w:val="28"/>
          <w:szCs w:val="28"/>
        </w:rPr>
        <w:t>ГКУ НСО ТУАД (ГКУ НСО ТУАД, л/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№04512053940), </w:t>
      </w:r>
      <w:r>
        <w:rPr>
          <w:rFonts w:ascii="Times New Roman" w:hAnsi="Times New Roman" w:cs="Times New Roman"/>
          <w:b/>
          <w:sz w:val="28"/>
          <w:szCs w:val="28"/>
        </w:rPr>
        <w:t xml:space="preserve">ИНН 540 510 03 16, КПП 540 501 001, Единый казначейский счет 401 028 104 453 700 000 43,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03 100 643 000 000 015</w:t>
      </w:r>
      <w:r>
        <w:rPr>
          <w:rFonts w:ascii="Times New Roman" w:hAnsi="Times New Roman" w:cs="Times New Roman"/>
          <w:b/>
          <w:sz w:val="28"/>
          <w:szCs w:val="28"/>
        </w:rPr>
        <w:t xml:space="preserve"> 100, УФК по Новосибирской области, г. Новосибирск, БИК 015004950, ОКТМО 507 01 000, КБК 17611105100020000120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назначение платежа: плата по договору на установку и эксплуатацию рекламной конструкции №__________ от _______________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3.4.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 платы по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говору ежегодно, но не ранее, чем через год после заключения Договора, может быть изменен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 увеличения в бесспорном и одностороннем порядке в связи с изменением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коэффициента-дефлятора, установленного в федеральном законе о федеральном б</w:t>
      </w:r>
      <w:r>
        <w:rPr>
          <w:rFonts w:ascii="Times New Roman" w:eastAsia="Times New Roman" w:hAnsi="Times New Roman" w:cs="Times New Roman"/>
          <w:sz w:val="28"/>
          <w:szCs w:val="28"/>
        </w:rPr>
        <w:t>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годом, в котором заключен Договор.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письменное уведомление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платы.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принять уведомление к исполнению в указанный в нем срок без подписания дополнительного соглашения.</w:t>
      </w:r>
      <w:proofErr w:type="gramEnd"/>
    </w:p>
    <w:p w:rsidR="009F235E" w:rsidRDefault="009F235E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СРОК ДЕЙСТВИЯ ДОГОВОРА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Настоящий Договор вступает в силу с момента его подписания и </w:t>
      </w:r>
      <w:r>
        <w:rPr>
          <w:rFonts w:ascii="Times New Roman" w:hAnsi="Times New Roman" w:cs="Times New Roman"/>
          <w:sz w:val="28"/>
          <w:szCs w:val="28"/>
        </w:rPr>
        <w:t xml:space="preserve">действует в течение ____________лет 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9F235E" w:rsidRDefault="009F235E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ИЗМЕНЕНИЕ И РАСТОРЖ</w:t>
      </w:r>
      <w:r>
        <w:rPr>
          <w:rFonts w:ascii="Times New Roman" w:hAnsi="Times New Roman" w:cs="Times New Roman"/>
          <w:bCs/>
          <w:sz w:val="28"/>
          <w:szCs w:val="28"/>
        </w:rPr>
        <w:t>ЕНИЕ ДОГОВОРА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Настоящий Договор может быть изменен или расторгнут по соглашению сторон.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При досрочном расторжении Договора Рекламное место должно быть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освобождено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свой счет и приведено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надлежащее состояние.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вправе отказаться от Договора в одностороннем порядке, уведомив об этом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10 дней, в следующих случаях: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 внесения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Платы, Предусмотренной договором, в течение 10-ти дней с момента подписания Договора;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аннулирования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признания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разрешения на установку рекламной конструкции;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изменения площади рекламной конструкции, без согласования с </w:t>
      </w:r>
      <w:r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муниципального района (Администрации Новосибирского района Новосибирской области) 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смены владельца рекламной конструкции без согласования с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наличия решения о ликвидации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признания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несостоятельным (банкротом).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выявления угрозы жизни и здоровью людей и (или) причинения ущерба имуществу как Учреждения, так и третьих лиц при дальнейшей эксплуатации рекламной конструкции, при этом плата за установку и эксплуатацию рекламной конструкции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воз</w:t>
      </w:r>
      <w:r>
        <w:rPr>
          <w:rFonts w:ascii="Times New Roman" w:hAnsi="Times New Roman" w:cs="Times New Roman"/>
          <w:sz w:val="28"/>
          <w:szCs w:val="28"/>
        </w:rPr>
        <w:t>вращается.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невозможности установки рекламных конструкций по причинам независящим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производит возврат фактически выплаченных денежных средств по проведенному аукциону.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5.5. 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освобождения места под установленной Конструкцией, по окончании срока действия договора или его досрочного расторжении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само произвести демонтаж соответствующей Конструкции. При этом стоимость произведенных работ по демонтажу и хранению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Конструкции возмещается (оплачивается)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5E" w:rsidRDefault="009F235E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ОТВЕТСТВЕННОСТЬ СТОРОН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</w:t>
      </w:r>
      <w:r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установки рекламной конструкции либо отсутствия информации на ней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освобождается от обязательств по настоящему договору.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За нарушение срока внесения платы, установленного п. 3.3. настоящег</w:t>
      </w:r>
      <w:r>
        <w:rPr>
          <w:rFonts w:ascii="Times New Roman" w:hAnsi="Times New Roman" w:cs="Times New Roman"/>
          <w:sz w:val="28"/>
          <w:szCs w:val="28"/>
        </w:rPr>
        <w:t xml:space="preserve">о Договора,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в виде пени в размере 0,1 % от суммы задолженности за каждый календарный день просрочки, начиная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следующего за сроком оплаты по день погашения долга включительно. Пеня подлежит перечислению н</w:t>
      </w:r>
      <w:r>
        <w:rPr>
          <w:rFonts w:ascii="Times New Roman" w:hAnsi="Times New Roman" w:cs="Times New Roman"/>
          <w:sz w:val="28"/>
          <w:szCs w:val="28"/>
        </w:rPr>
        <w:t>а счет, указанный в п. 3.3 настоящего Договора.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освобождается от исполнения своих обязательств по внесению платы по договору в случае уплаты пени.</w:t>
      </w:r>
    </w:p>
    <w:p w:rsidR="009F235E" w:rsidRDefault="005C1202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В случаях прекращения либо досрочного расторжения настоящего Договора, а также в случае аннулирования разрешения или признания 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произвести демонтаж рекламной конструкции в течение месяца и удалить инф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ормацию, размещенную на такой рекламной конструкции.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нарушения данного обязательства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возмещает убытки, понесенные Учреждением по демонтажу рекламной конструкции.</w:t>
      </w:r>
    </w:p>
    <w:p w:rsidR="009F235E" w:rsidRDefault="009F235E">
      <w:pPr>
        <w:pStyle w:val="af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35E" w:rsidRDefault="005C12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ПРОЧИЕ УСЛОВИЯ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 По требованию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размещать на рекламной конструкции социальную рекламу (информацию). Заключение договора на распространение социальной рекламы (информации) является обязательным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пяти процентов годового объема распро</w:t>
      </w:r>
      <w:r>
        <w:rPr>
          <w:rFonts w:ascii="Times New Roman" w:eastAsia="Times New Roman" w:hAnsi="Times New Roman" w:cs="Times New Roman"/>
          <w:sz w:val="28"/>
          <w:szCs w:val="28"/>
        </w:rPr>
        <w:t>страняемой им рекламы.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Ни одна из сторон не будет нести ответственности за полное или частичное неисполнение обязательств по настоящему договору, если неисполнение обязательств будет являться следствием обстоятельств непреодолимой силы, если 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уведомит другую сторону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наступлении в 2-дневный срок. 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 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перемены адреса, наименования или номера расчетного счета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в 15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срок письменно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известить об этом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. При отсутствии извещения об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все уведомления и другие документы, направленные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адресу, указанному в настоящем договоре, считаются врученными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  Споры между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разрешаются путем переговоров, а в случае не ур</w:t>
      </w:r>
      <w:r>
        <w:rPr>
          <w:rFonts w:ascii="Times New Roman" w:eastAsia="Times New Roman" w:hAnsi="Times New Roman" w:cs="Times New Roman"/>
          <w:sz w:val="28"/>
          <w:szCs w:val="28"/>
        </w:rPr>
        <w:t>егулирования путем переговоров - в Арбитражном суде Новосибирской области.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  Договор со дня его подписания Сторонами одновременно приобретает силу акта приема-передачи, в соответствии с которым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передает,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Рекламораспространител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 м</w:t>
      </w:r>
      <w:r>
        <w:rPr>
          <w:rFonts w:ascii="Times New Roman" w:eastAsia="Times New Roman" w:hAnsi="Times New Roman" w:cs="Times New Roman"/>
          <w:sz w:val="28"/>
          <w:szCs w:val="28"/>
        </w:rPr>
        <w:t>есто размещения рекламной конструкции, охарактеризованное  и согласованное сторонами в Договоре.</w:t>
      </w:r>
    </w:p>
    <w:p w:rsidR="009F235E" w:rsidRDefault="005C1202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Взаимоотношения сторон, не урегулированные настоящим договором, регулируются Правилами распространения наружной рекламы на территории Новосибирского район</w:t>
      </w:r>
      <w:r>
        <w:rPr>
          <w:rFonts w:ascii="Times New Roman" w:eastAsia="Times New Roman" w:hAnsi="Times New Roman" w:cs="Times New Roman"/>
          <w:sz w:val="28"/>
          <w:szCs w:val="28"/>
        </w:rPr>
        <w:t>а Новосибирской области утвержденными Советом депутатов Новосибирского района Новосибирской области от 31.05.2018 г. № 5, иными правовыми актами и законодательством в сфере рекламы, действующей на территории установки и эксплуатации рекламной конструкции.</w:t>
      </w:r>
    </w:p>
    <w:p w:rsidR="009F235E" w:rsidRDefault="005C1202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F235E" w:rsidRDefault="005C1202">
      <w:pPr>
        <w:pStyle w:val="af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ЗАКЛЮЧИТЕЛЬНЫЕ ПОЛОЖЕНИЯ</w:t>
      </w:r>
    </w:p>
    <w:p w:rsidR="009F235E" w:rsidRDefault="009F235E">
      <w:pPr>
        <w:pStyle w:val="af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</w:t>
      </w:r>
      <w:r>
        <w:rPr>
          <w:rFonts w:ascii="Times New Roman" w:hAnsi="Times New Roman" w:cs="Times New Roman"/>
          <w:sz w:val="28"/>
          <w:szCs w:val="28"/>
        </w:rPr>
        <w:t>соглашения, которое становится неотъемлемой частью настоящего договора, за исключением случая указанного в п.3.4. Договора.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почту. Если письмо (уведомление, требование) направляется а</w:t>
      </w:r>
      <w:r>
        <w:rPr>
          <w:rFonts w:ascii="Times New Roman" w:hAnsi="Times New Roman" w:cs="Times New Roman"/>
          <w:sz w:val="28"/>
          <w:szCs w:val="28"/>
        </w:rPr>
        <w:t xml:space="preserve">дресату по почте, адресат считается получившим письмо (уведомление, требование) в случае его направления по адресу указанному в Договоре, даже в случае отсутствия адресата по указанному адресу. </w:t>
      </w: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 (по одному для каждой из Сторон), имеющих равную юридическую силу.</w:t>
      </w:r>
    </w:p>
    <w:p w:rsidR="009F235E" w:rsidRDefault="009F235E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F235E" w:rsidRDefault="005C1202">
      <w:pPr>
        <w:pStyle w:val="af7"/>
        <w:numPr>
          <w:ilvl w:val="0"/>
          <w:numId w:val="3"/>
        </w:numPr>
        <w:spacing w:before="100" w:beforeAutospacing="1"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размещения рекламной конструкции Учреждением;</w:t>
      </w:r>
    </w:p>
    <w:p w:rsidR="009F235E" w:rsidRDefault="005C1202">
      <w:pPr>
        <w:pStyle w:val="af7"/>
        <w:numPr>
          <w:ilvl w:val="0"/>
          <w:numId w:val="3"/>
        </w:numPr>
        <w:spacing w:before="100" w:beforeAutospacing="1"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размещение рекламных конструкций ДИЗО.</w:t>
      </w:r>
    </w:p>
    <w:p w:rsidR="009F235E" w:rsidRDefault="009F235E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35E" w:rsidRDefault="005C120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АДРЕСА, РЕКВИЗИТЫ И ПОДПИСИ СТОРОН</w:t>
      </w:r>
    </w:p>
    <w:tbl>
      <w:tblPr>
        <w:tblW w:w="988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64"/>
        <w:gridCol w:w="5525"/>
      </w:tblGrid>
      <w:tr w:rsidR="009F235E">
        <w:tc>
          <w:tcPr>
            <w:tcW w:w="4364" w:type="dxa"/>
          </w:tcPr>
          <w:p w:rsidR="009F235E" w:rsidRDefault="005C12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Новосибирской области «Территориальное управление автомобильных дорог Новосибирской области»,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630009,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Новосибирск, ул. Добролюбова, 12, офис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ГКУ НСО ТУАД (ГКУ НСО ТУАД, л/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№04512053940),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540 510 03 16,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540 501 001,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казначейский счет 401 028 104 453 700 000 43,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03 100 643 000 000 015 100, УФК по Новосибирской области, г. Новосибирск,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015004950,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507 01 000,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 17611105100020000120 телефон: 335-81-50</w:t>
            </w:r>
          </w:p>
          <w:p w:rsidR="009F235E" w:rsidRDefault="005C1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tooltip="mailto:office@tuad.nso.ru" w:history="1"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office</w:t>
              </w:r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</w:rPr>
                <w:t>@</w:t>
              </w:r>
              <w:proofErr w:type="spellStart"/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tuad</w:t>
              </w:r>
              <w:proofErr w:type="spellEnd"/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f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25" w:type="dxa"/>
          </w:tcPr>
          <w:p w:rsidR="009F235E" w:rsidRDefault="005C120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РЕКЛАМОРАСПРОСТРАНИТЕЛЬ </w:t>
            </w:r>
          </w:p>
          <w:p w:rsidR="009F235E" w:rsidRDefault="005C1202">
            <w:pPr>
              <w:pStyle w:val="ConsPlusNormal"/>
            </w:pPr>
            <w:r>
              <w:t xml:space="preserve">Полное фирменное наименование юридического лица (ФИО физического </w:t>
            </w:r>
            <w:proofErr w:type="gramStart"/>
            <w:r>
              <w:t>лица-индивидуального</w:t>
            </w:r>
            <w:proofErr w:type="gramEnd"/>
            <w:r>
              <w:t xml:space="preserve"> предпринимателя)</w:t>
            </w:r>
          </w:p>
          <w:p w:rsidR="009F235E" w:rsidRDefault="005C1202">
            <w:pPr>
              <w:pStyle w:val="ConsPlusNormal"/>
            </w:pPr>
            <w:r>
              <w:t>ОГРН (ОГРНИП)/ИНН</w:t>
            </w:r>
          </w:p>
          <w:p w:rsidR="009F235E" w:rsidRDefault="005C1202">
            <w:pPr>
              <w:pStyle w:val="ConsPlusNormal"/>
            </w:pPr>
            <w:r>
              <w:t>(для физического лиц</w:t>
            </w:r>
            <w:proofErr w:type="gramStart"/>
            <w:r>
              <w:t>а-</w:t>
            </w:r>
            <w:proofErr w:type="gramEnd"/>
            <w:r>
              <w:t xml:space="preserve"> индивидуального предпринимателя:, реквизиты документа, удостоверяющего личность)</w:t>
            </w:r>
          </w:p>
          <w:p w:rsidR="009F235E" w:rsidRDefault="005C1202">
            <w:pPr>
              <w:pStyle w:val="ConsPlusNormal"/>
            </w:pPr>
            <w:r>
              <w:t>юридический адре</w:t>
            </w:r>
            <w:proofErr w:type="gramStart"/>
            <w:r>
              <w:t>с(</w:t>
            </w:r>
            <w:proofErr w:type="gramEnd"/>
            <w:r>
              <w:t>адрес места жительства)</w:t>
            </w:r>
          </w:p>
          <w:p w:rsidR="009F235E" w:rsidRDefault="009F235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35E" w:rsidRDefault="005C1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ФИО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proofErr w:type="gramEnd"/>
    </w:p>
    <w:p w:rsidR="009F235E" w:rsidRDefault="005C1202">
      <w:pPr>
        <w:tabs>
          <w:tab w:val="left" w:pos="2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(подпись)                                                                                         (подпись)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4785"/>
      </w:tblGrid>
      <w:tr w:rsidR="00401A04" w:rsidRPr="00401A04" w:rsidTr="0017053D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401A04" w:rsidRP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04">
              <w:rPr>
                <w:rFonts w:ascii="Times New Roman" w:hAnsi="Times New Roman" w:cs="Times New Roman"/>
                <w:sz w:val="28"/>
                <w:szCs w:val="28"/>
              </w:rPr>
              <w:t>к Порядку организации и проведения открытого аукциона в электронной форме на право заключения договора на установку и эксплуатацию рекламной конструкции</w:t>
            </w:r>
          </w:p>
          <w:p w:rsidR="00401A04" w:rsidRDefault="00401A04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ind w:right="-4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1A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01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 декабря 2025г. №558</w:t>
            </w:r>
          </w:p>
          <w:p w:rsidR="00520272" w:rsidRPr="00401A04" w:rsidRDefault="00520272" w:rsidP="00170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auto"/>
              <w:ind w:right="-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lastRenderedPageBreak/>
        <w:t>Заявка на участие в открытом аукционе в электронной форме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«___» __________ 20__ г.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 w:rsidR="00520272">
        <w:rPr>
          <w:rFonts w:ascii="Times New Roman" w:hAnsi="Times New Roman" w:cs="Times New Roman"/>
          <w:i/>
          <w:sz w:val="28"/>
          <w:szCs w:val="28"/>
        </w:rPr>
        <w:t>_____________________________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  <w:vertAlign w:val="superscript"/>
        </w:rPr>
        <w:t>(Ф.И.О. физического лица или полное наименование юридического лица, подающего заявку)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 xml:space="preserve">в лице 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2027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1A04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 и должность для представителя юридического лица, имеющего право действовать без доверенности; 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1A04">
        <w:rPr>
          <w:rFonts w:ascii="Times New Roman" w:hAnsi="Times New Roman" w:cs="Times New Roman"/>
          <w:sz w:val="28"/>
          <w:szCs w:val="28"/>
          <w:vertAlign w:val="superscript"/>
        </w:rPr>
        <w:t>Ф.И.О. уполномоченного представителя)</w:t>
      </w:r>
      <w:proofErr w:type="gramEnd"/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i/>
          <w:sz w:val="28"/>
          <w:szCs w:val="28"/>
          <w:vertAlign w:val="superscript"/>
        </w:rPr>
        <w:t>_____________________________________________________________________________</w:t>
      </w:r>
      <w:r w:rsidR="00520272">
        <w:rPr>
          <w:rFonts w:ascii="Times New Roman" w:hAnsi="Times New Roman" w:cs="Times New Roman"/>
          <w:i/>
          <w:sz w:val="28"/>
          <w:szCs w:val="28"/>
          <w:vertAlign w:val="superscript"/>
        </w:rPr>
        <w:t>__________________________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401A0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01A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1A0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01A04">
        <w:rPr>
          <w:rFonts w:ascii="Times New Roman" w:hAnsi="Times New Roman" w:cs="Times New Roman"/>
          <w:sz w:val="28"/>
          <w:szCs w:val="28"/>
        </w:rPr>
        <w:t xml:space="preserve">) на основании  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20272">
        <w:rPr>
          <w:rFonts w:ascii="Times New Roman" w:hAnsi="Times New Roman" w:cs="Times New Roman"/>
          <w:sz w:val="28"/>
          <w:szCs w:val="28"/>
        </w:rPr>
        <w:t>____________________________</w:t>
      </w:r>
      <w:r w:rsidRPr="00401A04">
        <w:rPr>
          <w:rFonts w:ascii="Times New Roman" w:hAnsi="Times New Roman" w:cs="Times New Roman"/>
          <w:sz w:val="28"/>
          <w:szCs w:val="28"/>
        </w:rPr>
        <w:t>,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 xml:space="preserve">принимая решение </w:t>
      </w:r>
      <w:proofErr w:type="gramStart"/>
      <w:r w:rsidRPr="00401A04">
        <w:rPr>
          <w:rFonts w:ascii="Times New Roman" w:hAnsi="Times New Roman" w:cs="Times New Roman"/>
          <w:sz w:val="28"/>
          <w:szCs w:val="28"/>
        </w:rPr>
        <w:t>об участии в открытом аукционе в электронной форме на право заключения договора на установку</w:t>
      </w:r>
      <w:proofErr w:type="gramEnd"/>
      <w:r w:rsidRPr="00401A04">
        <w:rPr>
          <w:rFonts w:ascii="Times New Roman" w:hAnsi="Times New Roman" w:cs="Times New Roman"/>
          <w:sz w:val="28"/>
          <w:szCs w:val="28"/>
        </w:rPr>
        <w:t xml:space="preserve"> и эксплуатацию рекламной конструкции, обязуется: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A04">
        <w:rPr>
          <w:rFonts w:ascii="Times New Roman" w:hAnsi="Times New Roman" w:cs="Times New Roman"/>
          <w:sz w:val="28"/>
          <w:szCs w:val="28"/>
        </w:rPr>
        <w:t xml:space="preserve">1) соблюдать условия аукциона, содержащиеся в извещении о проведении аукциона от «____» __________ 20__ г., размещенном на официальном сайте торгов Российской Федерации </w:t>
      </w:r>
      <w:hyperlink r:id="rId11" w:tooltip="http://www.torgi.gov.ru" w:history="1">
        <w:r w:rsidRPr="00401A04">
          <w:rPr>
            <w:rStyle w:val="af8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401A04">
        <w:rPr>
          <w:rFonts w:ascii="Times New Roman" w:hAnsi="Times New Roman" w:cs="Times New Roman"/>
          <w:sz w:val="28"/>
          <w:szCs w:val="28"/>
        </w:rPr>
        <w:t>, а также Порядок организации и проведения открытого аукциона в электронной форме на право заключения договора на установку и эксплуатацию рекламной конструкции, утвержденный Приказом ГКУ НСО ТУАД  от «22»декабря 2025 г. № 558.</w:t>
      </w:r>
      <w:proofErr w:type="gramEnd"/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2) в случае признания победителем аукциона – заключить договор на установку и эксплуатацию рекламной конструкции в течение тридцати дней со дня направления организатором аукциона проекта договора на установку и эксплуатацию рекламной конструкции.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lastRenderedPageBreak/>
        <w:t> Банковские реквизиты счета для возврата задатка: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0272">
        <w:rPr>
          <w:rFonts w:ascii="Times New Roman" w:hAnsi="Times New Roman" w:cs="Times New Roman"/>
          <w:sz w:val="28"/>
          <w:szCs w:val="28"/>
        </w:rPr>
        <w:t>_______________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Номер телефона: ________________________________________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Приложения</w:t>
      </w:r>
      <w:r w:rsidRPr="00401A04">
        <w:rPr>
          <w:rFonts w:ascii="Times New Roman" w:hAnsi="Times New Roman" w:cs="Times New Roman"/>
          <w:b/>
          <w:sz w:val="28"/>
          <w:szCs w:val="28"/>
        </w:rPr>
        <w:t>: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- копии документов, удостоверяющих личность заявителя (для физических лиц);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- документы, подтверждающие внесение задатка;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- копия надлежащим образом оформленного документа, подтверждающего полномочия представителя.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 Подпись Заявителя: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____________________ /__________________/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«___» _________________ 20__ г.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Заявка принята час</w:t>
      </w:r>
      <w:proofErr w:type="gramStart"/>
      <w:r w:rsidRPr="00401A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1A04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401A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01A04">
        <w:rPr>
          <w:rFonts w:ascii="Times New Roman" w:hAnsi="Times New Roman" w:cs="Times New Roman"/>
          <w:sz w:val="28"/>
          <w:szCs w:val="28"/>
        </w:rPr>
        <w:t>ин. _____ «____» __________20__ г. за № _____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01A04">
        <w:rPr>
          <w:rFonts w:ascii="Times New Roman" w:hAnsi="Times New Roman" w:cs="Times New Roman"/>
          <w:sz w:val="28"/>
          <w:szCs w:val="28"/>
        </w:rPr>
        <w:t>Подпись уполномоченного лица организатора аукциона:</w:t>
      </w:r>
    </w:p>
    <w:p w:rsidR="00401A04" w:rsidRPr="00401A04" w:rsidRDefault="00401A04" w:rsidP="00401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04">
        <w:rPr>
          <w:rFonts w:ascii="Times New Roman" w:hAnsi="Times New Roman" w:cs="Times New Roman"/>
          <w:sz w:val="28"/>
          <w:szCs w:val="28"/>
        </w:rPr>
        <w:t>__________________ /_____________/</w:t>
      </w:r>
    </w:p>
    <w:p w:rsidR="009F235E" w:rsidRPr="00401A04" w:rsidRDefault="009F235E">
      <w:pPr>
        <w:tabs>
          <w:tab w:val="left" w:pos="2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35E" w:rsidRPr="0040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02" w:rsidRDefault="005C1202">
      <w:pPr>
        <w:spacing w:after="0" w:line="240" w:lineRule="auto"/>
      </w:pPr>
      <w:r>
        <w:separator/>
      </w:r>
    </w:p>
  </w:endnote>
  <w:endnote w:type="continuationSeparator" w:id="0">
    <w:p w:rsidR="005C1202" w:rsidRDefault="005C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02" w:rsidRDefault="005C1202">
      <w:pPr>
        <w:spacing w:after="0" w:line="240" w:lineRule="auto"/>
      </w:pPr>
      <w:r>
        <w:separator/>
      </w:r>
    </w:p>
  </w:footnote>
  <w:footnote w:type="continuationSeparator" w:id="0">
    <w:p w:rsidR="005C1202" w:rsidRDefault="005C1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717E"/>
    <w:multiLevelType w:val="multilevel"/>
    <w:tmpl w:val="D5D046C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">
    <w:nsid w:val="4AE320DC"/>
    <w:multiLevelType w:val="hybridMultilevel"/>
    <w:tmpl w:val="93F6D5DA"/>
    <w:lvl w:ilvl="0" w:tplc="945A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308B1C">
      <w:start w:val="1"/>
      <w:numFmt w:val="lowerLetter"/>
      <w:lvlText w:val="%2."/>
      <w:lvlJc w:val="left"/>
      <w:pPr>
        <w:ind w:left="1440" w:hanging="360"/>
      </w:pPr>
    </w:lvl>
    <w:lvl w:ilvl="2" w:tplc="439C0C16">
      <w:start w:val="1"/>
      <w:numFmt w:val="lowerRoman"/>
      <w:lvlText w:val="%3."/>
      <w:lvlJc w:val="right"/>
      <w:pPr>
        <w:ind w:left="2160" w:hanging="180"/>
      </w:pPr>
    </w:lvl>
    <w:lvl w:ilvl="3" w:tplc="2C2283A4">
      <w:start w:val="1"/>
      <w:numFmt w:val="decimal"/>
      <w:lvlText w:val="%4."/>
      <w:lvlJc w:val="left"/>
      <w:pPr>
        <w:ind w:left="2880" w:hanging="360"/>
      </w:pPr>
    </w:lvl>
    <w:lvl w:ilvl="4" w:tplc="98FEF612">
      <w:start w:val="1"/>
      <w:numFmt w:val="lowerLetter"/>
      <w:lvlText w:val="%5."/>
      <w:lvlJc w:val="left"/>
      <w:pPr>
        <w:ind w:left="3600" w:hanging="360"/>
      </w:pPr>
    </w:lvl>
    <w:lvl w:ilvl="5" w:tplc="98CC5006">
      <w:start w:val="1"/>
      <w:numFmt w:val="lowerRoman"/>
      <w:lvlText w:val="%6."/>
      <w:lvlJc w:val="right"/>
      <w:pPr>
        <w:ind w:left="4320" w:hanging="180"/>
      </w:pPr>
    </w:lvl>
    <w:lvl w:ilvl="6" w:tplc="82A2FC28">
      <w:start w:val="1"/>
      <w:numFmt w:val="decimal"/>
      <w:lvlText w:val="%7."/>
      <w:lvlJc w:val="left"/>
      <w:pPr>
        <w:ind w:left="5040" w:hanging="360"/>
      </w:pPr>
    </w:lvl>
    <w:lvl w:ilvl="7" w:tplc="20E66708">
      <w:start w:val="1"/>
      <w:numFmt w:val="lowerLetter"/>
      <w:lvlText w:val="%8."/>
      <w:lvlJc w:val="left"/>
      <w:pPr>
        <w:ind w:left="5760" w:hanging="360"/>
      </w:pPr>
    </w:lvl>
    <w:lvl w:ilvl="8" w:tplc="09EACE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A4EBD"/>
    <w:multiLevelType w:val="hybridMultilevel"/>
    <w:tmpl w:val="F14C703E"/>
    <w:lvl w:ilvl="0" w:tplc="9210F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7D2794C">
      <w:start w:val="1"/>
      <w:numFmt w:val="lowerLetter"/>
      <w:lvlText w:val="%2."/>
      <w:lvlJc w:val="left"/>
      <w:pPr>
        <w:ind w:left="1789" w:hanging="360"/>
      </w:pPr>
    </w:lvl>
    <w:lvl w:ilvl="2" w:tplc="ED70AA92">
      <w:start w:val="1"/>
      <w:numFmt w:val="lowerRoman"/>
      <w:lvlText w:val="%3."/>
      <w:lvlJc w:val="right"/>
      <w:pPr>
        <w:ind w:left="2509" w:hanging="180"/>
      </w:pPr>
    </w:lvl>
    <w:lvl w:ilvl="3" w:tplc="254C2964">
      <w:start w:val="1"/>
      <w:numFmt w:val="decimal"/>
      <w:lvlText w:val="%4."/>
      <w:lvlJc w:val="left"/>
      <w:pPr>
        <w:ind w:left="3229" w:hanging="360"/>
      </w:pPr>
    </w:lvl>
    <w:lvl w:ilvl="4" w:tplc="5E08C218">
      <w:start w:val="1"/>
      <w:numFmt w:val="lowerLetter"/>
      <w:lvlText w:val="%5."/>
      <w:lvlJc w:val="left"/>
      <w:pPr>
        <w:ind w:left="3949" w:hanging="360"/>
      </w:pPr>
    </w:lvl>
    <w:lvl w:ilvl="5" w:tplc="B3C06680">
      <w:start w:val="1"/>
      <w:numFmt w:val="lowerRoman"/>
      <w:lvlText w:val="%6."/>
      <w:lvlJc w:val="right"/>
      <w:pPr>
        <w:ind w:left="4669" w:hanging="180"/>
      </w:pPr>
    </w:lvl>
    <w:lvl w:ilvl="6" w:tplc="CC9AE414">
      <w:start w:val="1"/>
      <w:numFmt w:val="decimal"/>
      <w:lvlText w:val="%7."/>
      <w:lvlJc w:val="left"/>
      <w:pPr>
        <w:ind w:left="5389" w:hanging="360"/>
      </w:pPr>
    </w:lvl>
    <w:lvl w:ilvl="7" w:tplc="812AADDE">
      <w:start w:val="1"/>
      <w:numFmt w:val="lowerLetter"/>
      <w:lvlText w:val="%8."/>
      <w:lvlJc w:val="left"/>
      <w:pPr>
        <w:ind w:left="6109" w:hanging="360"/>
      </w:pPr>
    </w:lvl>
    <w:lvl w:ilvl="8" w:tplc="C018EC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5E"/>
    <w:rsid w:val="00227C97"/>
    <w:rsid w:val="00401A04"/>
    <w:rsid w:val="00520272"/>
    <w:rsid w:val="005C1202"/>
    <w:rsid w:val="00793187"/>
    <w:rsid w:val="009F235E"/>
    <w:rsid w:val="00B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Title"/>
    <w:basedOn w:val="a"/>
    <w:link w:val="af6"/>
    <w:qFormat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Строгий2"/>
    <w:qFormat/>
    <w:rPr>
      <w:b/>
      <w:bCs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Title"/>
    <w:basedOn w:val="a"/>
    <w:link w:val="af6"/>
    <w:qFormat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Строгий2"/>
    <w:qFormat/>
    <w:rPr>
      <w:b/>
      <w:bCs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tuad.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0780-B7C5-4B4C-A49E-0DF70A29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8131</Words>
  <Characters>46352</Characters>
  <Application>Microsoft Office Word</Application>
  <DocSecurity>0</DocSecurity>
  <Lines>386</Lines>
  <Paragraphs>108</Paragraphs>
  <ScaleCrop>false</ScaleCrop>
  <Company/>
  <LinksUpToDate>false</LinksUpToDate>
  <CharactersWithSpaces>54375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Домник Оксана Геннадьевна</dc:creator>
  <cp:lastModifiedBy>Домник Оксана Геннадьевна</cp:lastModifiedBy>
  <cp:revision>201</cp:revision>
  <dcterms:created xsi:type="dcterms:W3CDTF">2025-10-08T02:36:00Z</dcterms:created>
  <dcterms:modified xsi:type="dcterms:W3CDTF">2025-12-25T01:55:00Z</dcterms:modified>
</cp:coreProperties>
</file>